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A3255" w14:textId="77777777" w:rsidR="00BA70B1" w:rsidRDefault="00BA70B1" w:rsidP="00BA70B1">
      <w:pPr>
        <w:rPr>
          <w:rFonts w:cs="Arial"/>
          <w:szCs w:val="20"/>
        </w:rPr>
      </w:pPr>
      <w:bookmarkStart w:id="0" w:name="_Hlk5187158"/>
      <w:bookmarkStart w:id="1" w:name="_Hlk5186185"/>
      <w:bookmarkStart w:id="2" w:name="_Hlk5185676"/>
      <w:r>
        <w:rPr>
          <w:rFonts w:cs="Arial"/>
          <w:szCs w:val="20"/>
        </w:rPr>
        <w:t>Subscriber Location No.: [</w:t>
      </w:r>
      <w:r>
        <w:rPr>
          <w:rFonts w:cs="Arial"/>
          <w:szCs w:val="20"/>
          <w:highlight w:val="yellow"/>
        </w:rPr>
        <w:t>Number</w:t>
      </w:r>
      <w:r>
        <w:rPr>
          <w:rFonts w:cs="Arial"/>
          <w:szCs w:val="20"/>
        </w:rPr>
        <w:t>]</w:t>
      </w:r>
      <w:r>
        <w:rPr>
          <w:rFonts w:cs="Arial"/>
          <w:szCs w:val="20"/>
          <w:highlight w:val="yellow"/>
        </w:rPr>
        <w:t xml:space="preserve"> </w:t>
      </w:r>
    </w:p>
    <w:p w14:paraId="43E9A8AB" w14:textId="77777777" w:rsidR="00BA70B1" w:rsidRDefault="00BA70B1" w:rsidP="001454AC">
      <w:pPr>
        <w:rPr>
          <w:rFonts w:cs="Arial"/>
          <w:szCs w:val="20"/>
        </w:rPr>
      </w:pPr>
      <w:r>
        <w:rPr>
          <w:rFonts w:cs="Arial"/>
          <w:szCs w:val="20"/>
        </w:rPr>
        <w:t>This addendum (</w:t>
      </w:r>
      <w:r>
        <w:rPr>
          <w:rFonts w:cs="Arial"/>
          <w:b/>
          <w:szCs w:val="20"/>
        </w:rPr>
        <w:t>Addendum</w:t>
      </w:r>
      <w:r>
        <w:rPr>
          <w:rFonts w:cs="Arial"/>
          <w:szCs w:val="20"/>
        </w:rPr>
        <w:t>) to the Forwards MAPI Agreement is entered into between:</w:t>
      </w:r>
    </w:p>
    <w:p w14:paraId="75F86E07" w14:textId="5792A6C8" w:rsidR="00BA70B1" w:rsidRDefault="00BA70B1" w:rsidP="001454AC">
      <w:pPr>
        <w:numPr>
          <w:ilvl w:val="0"/>
          <w:numId w:val="37"/>
        </w:numPr>
        <w:ind w:left="567" w:hanging="567"/>
        <w:rPr>
          <w:rFonts w:cs="Arial"/>
          <w:szCs w:val="20"/>
        </w:rPr>
      </w:pPr>
      <w:r w:rsidRPr="001454AC">
        <w:rPr>
          <w:rFonts w:cs="Arial"/>
          <w:b/>
          <w:szCs w:val="20"/>
        </w:rPr>
        <w:t>Financial &amp; Risk Transaction Services Ireland Limited,</w:t>
      </w:r>
      <w:r w:rsidRPr="001454AC">
        <w:rPr>
          <w:rFonts w:cs="Arial"/>
          <w:szCs w:val="20"/>
        </w:rPr>
        <w:t xml:space="preserve"> </w:t>
      </w:r>
      <w:r>
        <w:rPr>
          <w:rFonts w:cs="Arial"/>
          <w:szCs w:val="20"/>
        </w:rPr>
        <w:t>a</w:t>
      </w:r>
      <w:r w:rsidR="005F2750">
        <w:rPr>
          <w:rFonts w:cs="Arial"/>
          <w:szCs w:val="20"/>
        </w:rPr>
        <w:t>n</w:t>
      </w:r>
      <w:r>
        <w:rPr>
          <w:rFonts w:cs="Arial"/>
          <w:szCs w:val="20"/>
        </w:rPr>
        <w:t xml:space="preserve"> </w:t>
      </w:r>
      <w:r w:rsidR="005F2750">
        <w:rPr>
          <w:rFonts w:cs="Arial"/>
          <w:szCs w:val="20"/>
        </w:rPr>
        <w:t>LSEG</w:t>
      </w:r>
      <w:r>
        <w:rPr>
          <w:rFonts w:cs="Arial"/>
          <w:szCs w:val="20"/>
        </w:rPr>
        <w:t xml:space="preserve"> company duly organized and existing under the laws of Ireland (company registration number 623891), whose registered office is at </w:t>
      </w:r>
      <w:r w:rsidRPr="001454AC">
        <w:rPr>
          <w:rFonts w:cs="Arial"/>
          <w:szCs w:val="20"/>
        </w:rPr>
        <w:t>12/13 Exchange Place, I.F.S.C., Dublin 1, D01P8H1, Ireland</w:t>
      </w:r>
      <w:r>
        <w:rPr>
          <w:rFonts w:cs="Arial"/>
          <w:szCs w:val="20"/>
        </w:rPr>
        <w:t>, (</w:t>
      </w:r>
      <w:r>
        <w:rPr>
          <w:rFonts w:cs="Arial"/>
          <w:b/>
          <w:szCs w:val="20"/>
        </w:rPr>
        <w:t>FRTSIL</w:t>
      </w:r>
      <w:r>
        <w:rPr>
          <w:rFonts w:cs="Arial"/>
          <w:szCs w:val="20"/>
        </w:rPr>
        <w:t xml:space="preserve">); and  </w:t>
      </w:r>
    </w:p>
    <w:p w14:paraId="56A1EE70" w14:textId="77777777" w:rsidR="00BA70B1" w:rsidRDefault="00BA70B1" w:rsidP="001454AC">
      <w:pPr>
        <w:numPr>
          <w:ilvl w:val="0"/>
          <w:numId w:val="37"/>
        </w:numPr>
        <w:spacing w:after="0"/>
        <w:ind w:left="567" w:hanging="567"/>
        <w:rPr>
          <w:rFonts w:cs="Arial"/>
          <w:szCs w:val="20"/>
        </w:rPr>
      </w:pPr>
      <w:r w:rsidRPr="003E28FD">
        <w:rPr>
          <w:rFonts w:ascii="Arial Bold" w:hAnsi="Arial Bold" w:cs="Arial"/>
          <w:b/>
          <w:szCs w:val="20"/>
        </w:rPr>
        <w:t>[</w:t>
      </w:r>
      <w:r>
        <w:rPr>
          <w:rFonts w:cs="Arial"/>
          <w:b/>
          <w:szCs w:val="20"/>
          <w:highlight w:val="yellow"/>
        </w:rPr>
        <w:t>Subscriber Name</w:t>
      </w:r>
      <w:r w:rsidRPr="003E28FD">
        <w:rPr>
          <w:rFonts w:ascii="Arial Bold" w:hAnsi="Arial Bold" w:cs="Arial"/>
          <w:b/>
          <w:szCs w:val="20"/>
        </w:rPr>
        <w:t>]</w:t>
      </w:r>
      <w:r>
        <w:rPr>
          <w:rFonts w:cs="Arial"/>
          <w:szCs w:val="20"/>
        </w:rPr>
        <w:t>, company registered number [</w:t>
      </w:r>
      <w:r>
        <w:rPr>
          <w:rFonts w:cs="Arial"/>
          <w:szCs w:val="20"/>
          <w:highlight w:val="yellow"/>
        </w:rPr>
        <w:t>Company registration number</w:t>
      </w:r>
      <w:r>
        <w:rPr>
          <w:rFonts w:cs="Arial"/>
          <w:szCs w:val="20"/>
        </w:rPr>
        <w:t>], whose registered office is located at [</w:t>
      </w:r>
      <w:r>
        <w:rPr>
          <w:rFonts w:cs="Arial"/>
          <w:szCs w:val="20"/>
          <w:highlight w:val="yellow"/>
        </w:rPr>
        <w:t>Address</w:t>
      </w:r>
      <w:r>
        <w:rPr>
          <w:rFonts w:cs="Arial"/>
          <w:szCs w:val="20"/>
        </w:rPr>
        <w:t>] (</w:t>
      </w:r>
      <w:r>
        <w:rPr>
          <w:rFonts w:cs="Arial"/>
          <w:b/>
          <w:szCs w:val="20"/>
        </w:rPr>
        <w:t>Market Maker</w:t>
      </w:r>
      <w:r>
        <w:rPr>
          <w:rFonts w:cs="Arial"/>
          <w:szCs w:val="20"/>
        </w:rPr>
        <w:t>).</w:t>
      </w:r>
    </w:p>
    <w:p w14:paraId="1D452E1C" w14:textId="325A8DFF" w:rsidR="00BA70B1" w:rsidRDefault="00BA70B1" w:rsidP="00BA70B1">
      <w:pPr>
        <w:pStyle w:val="Heading2"/>
        <w:numPr>
          <w:ilvl w:val="0"/>
          <w:numId w:val="0"/>
        </w:numPr>
        <w:ind w:left="567" w:hanging="567"/>
        <w:rPr>
          <w:rFonts w:cs="Times New Roman"/>
          <w:szCs w:val="20"/>
        </w:rPr>
      </w:pPr>
      <w:bookmarkStart w:id="3" w:name="_Hlk5187203"/>
      <w:r>
        <w:t>Background</w:t>
      </w:r>
    </w:p>
    <w:p w14:paraId="02069F79" w14:textId="301527D7" w:rsidR="00BA70B1" w:rsidRDefault="00BA70B1" w:rsidP="001454AC">
      <w:pPr>
        <w:numPr>
          <w:ilvl w:val="0"/>
          <w:numId w:val="38"/>
        </w:numPr>
        <w:ind w:left="567" w:hanging="567"/>
        <w:rPr>
          <w:rFonts w:cs="Arial"/>
          <w:b/>
          <w:szCs w:val="20"/>
        </w:rPr>
      </w:pPr>
      <w:r>
        <w:rPr>
          <w:rFonts w:cs="Arial"/>
          <w:szCs w:val="20"/>
        </w:rPr>
        <w:t xml:space="preserve">FRTSIL operates a multilateral trading facility, </w:t>
      </w:r>
      <w:r w:rsidR="005F2750">
        <w:rPr>
          <w:rFonts w:cs="Arial"/>
          <w:szCs w:val="20"/>
        </w:rPr>
        <w:t>LSEG FX EU</w:t>
      </w:r>
      <w:r>
        <w:rPr>
          <w:rFonts w:cs="Arial"/>
          <w:szCs w:val="20"/>
        </w:rPr>
        <w:t xml:space="preserve"> MTF, and is required by MiFID II to </w:t>
      </w:r>
      <w:proofErr w:type="gramStart"/>
      <w:r>
        <w:rPr>
          <w:rFonts w:cs="Arial"/>
          <w:szCs w:val="20"/>
        </w:rPr>
        <w:t>enter into</w:t>
      </w:r>
      <w:proofErr w:type="gramEnd"/>
      <w:r>
        <w:rPr>
          <w:rFonts w:cs="Arial"/>
          <w:szCs w:val="20"/>
        </w:rPr>
        <w:t xml:space="preserve"> a market making agreement with its participants in certain circumstances.</w:t>
      </w:r>
      <w:r>
        <w:rPr>
          <w:rFonts w:cs="Arial"/>
          <w:b/>
          <w:szCs w:val="20"/>
        </w:rPr>
        <w:t xml:space="preserve"> </w:t>
      </w:r>
    </w:p>
    <w:p w14:paraId="53209A61" w14:textId="36A62D23" w:rsidR="00BA70B1" w:rsidRDefault="00BA70B1" w:rsidP="001454AC">
      <w:pPr>
        <w:numPr>
          <w:ilvl w:val="0"/>
          <w:numId w:val="38"/>
        </w:numPr>
        <w:ind w:left="567" w:hanging="567"/>
        <w:rPr>
          <w:rFonts w:cs="Arial"/>
          <w:b/>
          <w:szCs w:val="20"/>
        </w:rPr>
      </w:pPr>
      <w:r>
        <w:rPr>
          <w:rFonts w:cs="Arial"/>
          <w:szCs w:val="20"/>
        </w:rPr>
        <w:t xml:space="preserve">Market Maker is a participant on </w:t>
      </w:r>
      <w:r w:rsidR="005F2750">
        <w:rPr>
          <w:rFonts w:cs="Arial"/>
          <w:szCs w:val="20"/>
        </w:rPr>
        <w:t>the Platform</w:t>
      </w:r>
      <w:r>
        <w:rPr>
          <w:rFonts w:cs="Arial"/>
          <w:szCs w:val="20"/>
        </w:rPr>
        <w:t xml:space="preserve"> that is required by MiFID II to </w:t>
      </w:r>
      <w:proofErr w:type="gramStart"/>
      <w:r>
        <w:rPr>
          <w:rFonts w:cs="Arial"/>
          <w:szCs w:val="20"/>
        </w:rPr>
        <w:t>enter into</w:t>
      </w:r>
      <w:proofErr w:type="gramEnd"/>
      <w:r>
        <w:rPr>
          <w:rFonts w:cs="Arial"/>
          <w:szCs w:val="20"/>
        </w:rPr>
        <w:t xml:space="preserve"> a market making agreement in relation to its activity on the Venue only.</w:t>
      </w:r>
    </w:p>
    <w:p w14:paraId="24CF68A3" w14:textId="77777777" w:rsidR="00BA70B1" w:rsidRDefault="00BA70B1" w:rsidP="001454AC">
      <w:pPr>
        <w:numPr>
          <w:ilvl w:val="0"/>
          <w:numId w:val="38"/>
        </w:numPr>
        <w:spacing w:after="0"/>
        <w:ind w:left="567" w:hanging="567"/>
        <w:rPr>
          <w:rFonts w:cs="Arial"/>
          <w:b/>
          <w:szCs w:val="20"/>
        </w:rPr>
      </w:pPr>
      <w:r>
        <w:rPr>
          <w:rFonts w:cs="Arial"/>
          <w:szCs w:val="20"/>
        </w:rPr>
        <w:t xml:space="preserve">In satisfaction of their regulatory obligations, the Parties </w:t>
      </w:r>
      <w:proofErr w:type="gramStart"/>
      <w:r>
        <w:rPr>
          <w:rFonts w:cs="Arial"/>
          <w:szCs w:val="20"/>
        </w:rPr>
        <w:t>enter into</w:t>
      </w:r>
      <w:proofErr w:type="gramEnd"/>
      <w:r>
        <w:rPr>
          <w:rFonts w:cs="Arial"/>
          <w:szCs w:val="20"/>
        </w:rPr>
        <w:t xml:space="preserve"> this Addendum.</w:t>
      </w:r>
    </w:p>
    <w:p w14:paraId="43EE0730" w14:textId="0A991E67" w:rsidR="00BA70B1" w:rsidRPr="00BA70B1" w:rsidRDefault="00BA70B1" w:rsidP="00BA70B1">
      <w:pPr>
        <w:pStyle w:val="Heading2"/>
        <w:numPr>
          <w:ilvl w:val="0"/>
          <w:numId w:val="0"/>
        </w:numPr>
      </w:pPr>
      <w:bookmarkStart w:id="4" w:name="_Hlk5187224"/>
      <w:bookmarkEnd w:id="3"/>
      <w:r w:rsidRPr="00BA70B1">
        <w:t>Agreed Terms</w:t>
      </w:r>
    </w:p>
    <w:p w14:paraId="1D968B57" w14:textId="77777777" w:rsidR="00BA70B1" w:rsidRDefault="00BA70B1" w:rsidP="001454AC">
      <w:pPr>
        <w:rPr>
          <w:rFonts w:cs="Arial"/>
          <w:szCs w:val="20"/>
        </w:rPr>
      </w:pPr>
      <w:r>
        <w:rPr>
          <w:rFonts w:cs="Arial"/>
          <w:szCs w:val="20"/>
        </w:rPr>
        <w:t xml:space="preserve">In consideration of the mutual covenants, promises and undertakings set out below, the sufficiency of which is hereby acknowledged, the parties agree as follows. </w:t>
      </w:r>
    </w:p>
    <w:p w14:paraId="336C4659" w14:textId="3C556141" w:rsidR="00BA70B1" w:rsidRDefault="00BA70B1" w:rsidP="00BA70B1">
      <w:pPr>
        <w:pStyle w:val="Heading2"/>
        <w:rPr>
          <w:rFonts w:cs="Times New Roman"/>
        </w:rPr>
      </w:pPr>
      <w:r>
        <w:t>Definitions</w:t>
      </w:r>
    </w:p>
    <w:p w14:paraId="5BD39195" w14:textId="77777777" w:rsidR="00BA70B1" w:rsidRPr="00BA70B1" w:rsidRDefault="00BA70B1" w:rsidP="00BA70B1">
      <w:pPr>
        <w:pStyle w:val="Heading4"/>
      </w:pPr>
      <w:r w:rsidRPr="00BA70B1">
        <w:t>Capitalised terms used but not otherwise defined in this Addendum shall have the meaning given to them in the underlying Forwards MAPI Agreement. In this Addendum and the recitals, the following terms have the following meanings unless the context requires otherwise:</w:t>
      </w:r>
    </w:p>
    <w:p w14:paraId="5E84E562" w14:textId="77777777" w:rsidR="00BA70B1" w:rsidRPr="00BA70B1" w:rsidRDefault="00BA70B1" w:rsidP="001454AC">
      <w:pPr>
        <w:ind w:left="1134"/>
        <w:outlineLvl w:val="1"/>
        <w:rPr>
          <w:rFonts w:cs="Arial"/>
          <w:bCs/>
          <w:szCs w:val="20"/>
          <w:lang w:eastAsia="en-CA"/>
        </w:rPr>
      </w:pPr>
      <w:r w:rsidRPr="00BA70B1">
        <w:rPr>
          <w:rFonts w:cs="Arial"/>
          <w:b/>
          <w:szCs w:val="20"/>
          <w:lang w:eastAsia="en-CA"/>
        </w:rPr>
        <w:t>Commencement Date</w:t>
      </w:r>
      <w:r w:rsidRPr="00BA70B1">
        <w:rPr>
          <w:rFonts w:cs="Arial"/>
          <w:bCs/>
          <w:szCs w:val="20"/>
          <w:lang w:eastAsia="en-CA"/>
        </w:rPr>
        <w:t xml:space="preserve"> means the date this Addendum is signed by both parties.</w:t>
      </w:r>
    </w:p>
    <w:p w14:paraId="2B60BBCA" w14:textId="77777777" w:rsidR="00BA70B1" w:rsidRDefault="00BA70B1" w:rsidP="001454AC">
      <w:pPr>
        <w:ind w:left="1134"/>
        <w:outlineLvl w:val="1"/>
        <w:rPr>
          <w:rFonts w:cs="Arial"/>
          <w:szCs w:val="20"/>
          <w:lang w:eastAsia="en-CA"/>
        </w:rPr>
      </w:pPr>
      <w:r>
        <w:rPr>
          <w:rFonts w:cs="Arial"/>
          <w:b/>
          <w:szCs w:val="20"/>
          <w:lang w:eastAsia="en-CA"/>
        </w:rPr>
        <w:t>Exceptional Circumstance</w:t>
      </w:r>
      <w:r>
        <w:rPr>
          <w:rFonts w:cs="Arial"/>
          <w:szCs w:val="20"/>
          <w:lang w:eastAsia="en-CA"/>
        </w:rPr>
        <w:t xml:space="preserve"> means any of the following exceptional circumstances:</w:t>
      </w:r>
    </w:p>
    <w:p w14:paraId="39111065" w14:textId="77777777" w:rsidR="00BA70B1" w:rsidRDefault="00BA70B1" w:rsidP="001454AC">
      <w:pPr>
        <w:pStyle w:val="bulletleteter"/>
      </w:pPr>
      <w:r>
        <w:t xml:space="preserve">a situation of extreme volatility triggering volatility mechanisms for the majority of financial instruments or </w:t>
      </w:r>
      <w:proofErr w:type="spellStart"/>
      <w:r>
        <w:t>underlyings</w:t>
      </w:r>
      <w:proofErr w:type="spellEnd"/>
      <w:r>
        <w:t xml:space="preserve"> of financial instruments traded on the </w:t>
      </w:r>
      <w:proofErr w:type="gramStart"/>
      <w:r>
        <w:t>Venue;</w:t>
      </w:r>
      <w:proofErr w:type="gramEnd"/>
      <w:r>
        <w:t xml:space="preserve"> </w:t>
      </w:r>
    </w:p>
    <w:p w14:paraId="5EAECEA0" w14:textId="77777777" w:rsidR="00BA70B1" w:rsidRDefault="00BA70B1" w:rsidP="001454AC">
      <w:pPr>
        <w:pStyle w:val="bulletleteter"/>
      </w:pPr>
      <w:r>
        <w:t xml:space="preserve">war, industrial action, civil unrest or cyber </w:t>
      </w:r>
      <w:proofErr w:type="gramStart"/>
      <w:r>
        <w:t>sabotage;</w:t>
      </w:r>
      <w:proofErr w:type="gramEnd"/>
    </w:p>
    <w:p w14:paraId="7339CB74" w14:textId="77777777" w:rsidR="00BA70B1" w:rsidRDefault="00BA70B1" w:rsidP="001454AC">
      <w:pPr>
        <w:pStyle w:val="bulletleteter"/>
      </w:pPr>
      <w:r>
        <w:t xml:space="preserve">disorderly trading conditions where the maintenance of fair, orderly and transparent execution of trades is compromised, and evidence of any of the following is provided: </w:t>
      </w:r>
    </w:p>
    <w:p w14:paraId="0B3F2099" w14:textId="77777777" w:rsidR="00BA70B1" w:rsidRDefault="00BA70B1" w:rsidP="001454AC">
      <w:pPr>
        <w:numPr>
          <w:ilvl w:val="2"/>
          <w:numId w:val="39"/>
        </w:numPr>
        <w:ind w:left="2268" w:hanging="425"/>
        <w:outlineLvl w:val="2"/>
        <w:rPr>
          <w:rFonts w:cs="Arial"/>
          <w:szCs w:val="20"/>
          <w:lang w:eastAsia="en-CA"/>
        </w:rPr>
      </w:pPr>
      <w:r>
        <w:rPr>
          <w:rFonts w:cs="Arial"/>
          <w:szCs w:val="20"/>
          <w:lang w:eastAsia="en-CA"/>
        </w:rPr>
        <w:t xml:space="preserve">the performance of the Venue's system being significantly affected by delays and </w:t>
      </w:r>
      <w:proofErr w:type="gramStart"/>
      <w:r>
        <w:rPr>
          <w:rFonts w:cs="Arial"/>
          <w:szCs w:val="20"/>
          <w:lang w:eastAsia="en-CA"/>
        </w:rPr>
        <w:t>interruptions;</w:t>
      </w:r>
      <w:proofErr w:type="gramEnd"/>
      <w:r>
        <w:rPr>
          <w:rFonts w:cs="Arial"/>
          <w:szCs w:val="20"/>
          <w:lang w:eastAsia="en-CA"/>
        </w:rPr>
        <w:t xml:space="preserve"> </w:t>
      </w:r>
    </w:p>
    <w:p w14:paraId="0FD24003" w14:textId="77777777" w:rsidR="00BA70B1" w:rsidRDefault="00BA70B1" w:rsidP="001454AC">
      <w:pPr>
        <w:numPr>
          <w:ilvl w:val="2"/>
          <w:numId w:val="39"/>
        </w:numPr>
        <w:ind w:left="2268" w:hanging="425"/>
        <w:outlineLvl w:val="2"/>
        <w:rPr>
          <w:rFonts w:cs="Arial"/>
          <w:szCs w:val="20"/>
          <w:lang w:eastAsia="en-CA"/>
        </w:rPr>
      </w:pPr>
      <w:r>
        <w:rPr>
          <w:rFonts w:cs="Arial"/>
          <w:szCs w:val="20"/>
          <w:lang w:eastAsia="en-CA"/>
        </w:rPr>
        <w:t xml:space="preserve">multiple erroneous orders or </w:t>
      </w:r>
      <w:proofErr w:type="gramStart"/>
      <w:r>
        <w:rPr>
          <w:rFonts w:cs="Arial"/>
          <w:szCs w:val="20"/>
          <w:lang w:eastAsia="en-CA"/>
        </w:rPr>
        <w:t>transactions;</w:t>
      </w:r>
      <w:proofErr w:type="gramEnd"/>
      <w:r>
        <w:rPr>
          <w:rFonts w:cs="Arial"/>
          <w:szCs w:val="20"/>
          <w:lang w:eastAsia="en-CA"/>
        </w:rPr>
        <w:t xml:space="preserve"> </w:t>
      </w:r>
    </w:p>
    <w:p w14:paraId="0FEE6FEF" w14:textId="77777777" w:rsidR="00BA70B1" w:rsidRDefault="00BA70B1" w:rsidP="001454AC">
      <w:pPr>
        <w:numPr>
          <w:ilvl w:val="2"/>
          <w:numId w:val="39"/>
        </w:numPr>
        <w:ind w:left="2268" w:hanging="425"/>
        <w:outlineLvl w:val="2"/>
        <w:rPr>
          <w:rFonts w:cs="Arial"/>
          <w:szCs w:val="20"/>
          <w:lang w:eastAsia="en-CA"/>
        </w:rPr>
      </w:pPr>
      <w:r>
        <w:rPr>
          <w:rFonts w:cs="Arial"/>
          <w:szCs w:val="20"/>
          <w:lang w:eastAsia="en-CA"/>
        </w:rPr>
        <w:t xml:space="preserve">the capacity of the Venue to provide services becoming </w:t>
      </w:r>
      <w:proofErr w:type="gramStart"/>
      <w:r>
        <w:rPr>
          <w:rFonts w:cs="Arial"/>
          <w:szCs w:val="20"/>
          <w:lang w:eastAsia="en-CA"/>
        </w:rPr>
        <w:t>insufficient;</w:t>
      </w:r>
      <w:proofErr w:type="gramEnd"/>
      <w:r>
        <w:rPr>
          <w:rFonts w:cs="Arial"/>
          <w:szCs w:val="20"/>
          <w:lang w:eastAsia="en-CA"/>
        </w:rPr>
        <w:t xml:space="preserve"> </w:t>
      </w:r>
    </w:p>
    <w:p w14:paraId="4948EA2F" w14:textId="77777777" w:rsidR="00BA70B1" w:rsidRDefault="00BA70B1" w:rsidP="00BA70B1">
      <w:pPr>
        <w:rPr>
          <w:rFonts w:cs="Arial"/>
          <w:szCs w:val="20"/>
          <w:lang w:eastAsia="en-CA"/>
        </w:rPr>
      </w:pPr>
    </w:p>
    <w:p w14:paraId="7C638B33" w14:textId="77777777" w:rsidR="00BA70B1" w:rsidRDefault="00BA70B1" w:rsidP="001454AC">
      <w:pPr>
        <w:pStyle w:val="bulletleteter"/>
      </w:pPr>
      <w:r>
        <w:lastRenderedPageBreak/>
        <w:t>where the Market Maker's ability to maintain prudent risk management practices is prevented by any of the following</w:t>
      </w:r>
      <w:bookmarkEnd w:id="0"/>
      <w:r>
        <w:t xml:space="preserve">: </w:t>
      </w:r>
    </w:p>
    <w:p w14:paraId="11E0108D" w14:textId="77777777" w:rsidR="00BA70B1" w:rsidRDefault="00BA70B1" w:rsidP="001454AC">
      <w:pPr>
        <w:numPr>
          <w:ilvl w:val="2"/>
          <w:numId w:val="39"/>
        </w:numPr>
        <w:ind w:left="1985" w:hanging="284"/>
        <w:outlineLvl w:val="2"/>
        <w:rPr>
          <w:rFonts w:cs="Arial"/>
          <w:szCs w:val="20"/>
          <w:lang w:eastAsia="en-CA"/>
        </w:rPr>
      </w:pPr>
      <w:bookmarkStart w:id="5" w:name="_Hlk5187606"/>
      <w:bookmarkStart w:id="6" w:name="_Hlk5187349"/>
      <w:bookmarkStart w:id="7" w:name="_Hlk5186400"/>
      <w:bookmarkEnd w:id="1"/>
      <w:bookmarkEnd w:id="4"/>
      <w:r>
        <w:rPr>
          <w:rFonts w:cs="Arial"/>
          <w:szCs w:val="20"/>
          <w:lang w:eastAsia="en-CA"/>
        </w:rPr>
        <w:t xml:space="preserve">technological issues, including problems with a data feed or other system that is essential to carry out a market making </w:t>
      </w:r>
      <w:proofErr w:type="gramStart"/>
      <w:r>
        <w:rPr>
          <w:rFonts w:cs="Arial"/>
          <w:szCs w:val="20"/>
          <w:lang w:eastAsia="en-CA"/>
        </w:rPr>
        <w:t>strategy;</w:t>
      </w:r>
      <w:proofErr w:type="gramEnd"/>
      <w:r>
        <w:rPr>
          <w:rFonts w:cs="Arial"/>
          <w:szCs w:val="20"/>
          <w:lang w:eastAsia="en-CA"/>
        </w:rPr>
        <w:t xml:space="preserve"> </w:t>
      </w:r>
    </w:p>
    <w:bookmarkEnd w:id="2"/>
    <w:p w14:paraId="5BE7AFC9" w14:textId="77777777" w:rsidR="00BA70B1" w:rsidRDefault="00BA70B1" w:rsidP="001454AC">
      <w:pPr>
        <w:numPr>
          <w:ilvl w:val="2"/>
          <w:numId w:val="39"/>
        </w:numPr>
        <w:ind w:left="1985" w:hanging="284"/>
        <w:outlineLvl w:val="2"/>
        <w:rPr>
          <w:rFonts w:cs="Arial"/>
          <w:szCs w:val="20"/>
          <w:lang w:eastAsia="en-CA"/>
        </w:rPr>
      </w:pPr>
      <w:r>
        <w:rPr>
          <w:rFonts w:cs="Arial"/>
          <w:szCs w:val="20"/>
          <w:lang w:eastAsia="en-CA"/>
        </w:rPr>
        <w:t xml:space="preserve">risk management issues in relation to regulatory capital, margining and access to </w:t>
      </w:r>
      <w:proofErr w:type="gramStart"/>
      <w:r>
        <w:rPr>
          <w:rFonts w:cs="Arial"/>
          <w:szCs w:val="20"/>
          <w:lang w:eastAsia="en-CA"/>
        </w:rPr>
        <w:t>clearing;</w:t>
      </w:r>
      <w:proofErr w:type="gramEnd"/>
    </w:p>
    <w:p w14:paraId="624FA58F" w14:textId="77777777" w:rsidR="00BA70B1" w:rsidRDefault="00BA70B1" w:rsidP="001454AC">
      <w:pPr>
        <w:numPr>
          <w:ilvl w:val="2"/>
          <w:numId w:val="39"/>
        </w:numPr>
        <w:ind w:left="1985" w:hanging="284"/>
        <w:outlineLvl w:val="2"/>
        <w:rPr>
          <w:rFonts w:cs="Arial"/>
          <w:szCs w:val="20"/>
          <w:lang w:eastAsia="en-CA"/>
        </w:rPr>
      </w:pPr>
      <w:r>
        <w:rPr>
          <w:rFonts w:cs="Arial"/>
          <w:szCs w:val="20"/>
          <w:lang w:eastAsia="en-CA"/>
        </w:rPr>
        <w:t xml:space="preserve">the inability to hedge a position due to a short selling </w:t>
      </w:r>
      <w:proofErr w:type="gramStart"/>
      <w:r>
        <w:rPr>
          <w:rFonts w:cs="Arial"/>
          <w:szCs w:val="20"/>
          <w:lang w:eastAsia="en-CA"/>
        </w:rPr>
        <w:t>ban;</w:t>
      </w:r>
      <w:proofErr w:type="gramEnd"/>
      <w:r>
        <w:rPr>
          <w:rFonts w:cs="Arial"/>
          <w:szCs w:val="20"/>
          <w:lang w:eastAsia="en-CA"/>
        </w:rPr>
        <w:t xml:space="preserve"> </w:t>
      </w:r>
    </w:p>
    <w:p w14:paraId="248F3C3D" w14:textId="77777777" w:rsidR="00BA70B1" w:rsidRDefault="00BA70B1" w:rsidP="001454AC">
      <w:pPr>
        <w:pStyle w:val="bulletleteter"/>
      </w:pPr>
      <w:bookmarkStart w:id="8" w:name="_Hlk5187774"/>
      <w:bookmarkEnd w:id="5"/>
      <w:r>
        <w:t>during the suspension period referred to in Article 9(4) of Regulation (EU) No 600/2014 of the European Parliament and of the Council.</w:t>
      </w:r>
    </w:p>
    <w:p w14:paraId="2606A91C" w14:textId="77777777" w:rsidR="00BA70B1" w:rsidRDefault="00BA70B1" w:rsidP="001454AC">
      <w:pPr>
        <w:ind w:left="1134"/>
        <w:outlineLvl w:val="1"/>
        <w:rPr>
          <w:rFonts w:cs="Arial"/>
          <w:szCs w:val="20"/>
          <w:lang w:eastAsia="en-CA"/>
        </w:rPr>
      </w:pPr>
      <w:bookmarkStart w:id="9" w:name="_Hlk5187372"/>
      <w:bookmarkStart w:id="10" w:name="_Hlk5187395"/>
      <w:bookmarkEnd w:id="6"/>
      <w:r>
        <w:rPr>
          <w:rFonts w:cs="Arial"/>
          <w:b/>
          <w:szCs w:val="20"/>
          <w:lang w:eastAsia="en-CA"/>
        </w:rPr>
        <w:t>Financial Instrument</w:t>
      </w:r>
      <w:r>
        <w:rPr>
          <w:rFonts w:cs="Arial"/>
          <w:szCs w:val="20"/>
          <w:lang w:eastAsia="en-CA"/>
        </w:rPr>
        <w:t xml:space="preserve"> means the financial instruments listed in Schedule 1 to the extent such instrument is available to trade on the Venue.</w:t>
      </w:r>
    </w:p>
    <w:p w14:paraId="68924C72" w14:textId="201E5CE0" w:rsidR="00BA70B1" w:rsidRDefault="00BA70B1" w:rsidP="001454AC">
      <w:pPr>
        <w:ind w:left="1134"/>
        <w:outlineLvl w:val="1"/>
        <w:rPr>
          <w:rFonts w:cs="Arial"/>
          <w:szCs w:val="20"/>
          <w:lang w:eastAsia="en-CA"/>
        </w:rPr>
      </w:pPr>
      <w:r>
        <w:rPr>
          <w:rFonts w:cs="Arial"/>
          <w:b/>
          <w:szCs w:val="20"/>
        </w:rPr>
        <w:t>Forwards MAPI Agreement</w:t>
      </w:r>
      <w:r>
        <w:rPr>
          <w:rFonts w:cs="Arial"/>
          <w:szCs w:val="20"/>
        </w:rPr>
        <w:t xml:space="preserve"> means the </w:t>
      </w:r>
      <w:r w:rsidR="005F2750">
        <w:rPr>
          <w:rFonts w:cs="Arial"/>
          <w:szCs w:val="20"/>
        </w:rPr>
        <w:t xml:space="preserve">LSEG </w:t>
      </w:r>
      <w:r>
        <w:rPr>
          <w:rFonts w:cs="Arial"/>
          <w:szCs w:val="20"/>
        </w:rPr>
        <w:t>Order Form, subject to and governed by the Refinitiv Transaction Services Agreement or the Refinitiv Master Terms and Transactions Schedule, as applicable, between FRTSIL and Market Maker, pursuant to which Market Maker is provided access to the Venue via Matching API (MAPI).</w:t>
      </w:r>
    </w:p>
    <w:p w14:paraId="7FD46E49" w14:textId="2299618C" w:rsidR="001454AC" w:rsidRDefault="001454AC" w:rsidP="001454AC">
      <w:pPr>
        <w:ind w:left="1134"/>
        <w:outlineLvl w:val="1"/>
        <w:rPr>
          <w:rFonts w:cs="Arial"/>
          <w:szCs w:val="20"/>
          <w:lang w:eastAsia="en-CA"/>
        </w:rPr>
      </w:pPr>
      <w:r w:rsidRPr="001454AC">
        <w:rPr>
          <w:rFonts w:cs="Arial"/>
          <w:b/>
          <w:bCs/>
          <w:szCs w:val="20"/>
          <w:lang w:eastAsia="en-CA"/>
        </w:rPr>
        <w:t>LSEG FX EU</w:t>
      </w:r>
      <w:r>
        <w:rPr>
          <w:rFonts w:cs="Arial"/>
          <w:szCs w:val="20"/>
          <w:lang w:eastAsia="en-CA"/>
        </w:rPr>
        <w:t xml:space="preserve"> </w:t>
      </w:r>
      <w:r>
        <w:rPr>
          <w:rFonts w:cs="Arial"/>
          <w:b/>
          <w:szCs w:val="20"/>
          <w:lang w:eastAsia="en-CA"/>
        </w:rPr>
        <w:t>MTF</w:t>
      </w:r>
      <w:r>
        <w:rPr>
          <w:rFonts w:cs="Arial"/>
          <w:szCs w:val="20"/>
          <w:lang w:eastAsia="en-CA"/>
        </w:rPr>
        <w:t xml:space="preserve"> means the </w:t>
      </w:r>
      <w:r>
        <w:rPr>
          <w:rFonts w:cs="Arial"/>
          <w:szCs w:val="20"/>
          <w:lang w:eastAsia="en-CA"/>
        </w:rPr>
        <w:t xml:space="preserve">LSEG FX EU </w:t>
      </w:r>
      <w:r>
        <w:rPr>
          <w:rFonts w:cs="Arial"/>
          <w:szCs w:val="20"/>
          <w:lang w:eastAsia="en-CA"/>
        </w:rPr>
        <w:t>Multilateral Trading Facility operated by FRTSIL.</w:t>
      </w:r>
    </w:p>
    <w:p w14:paraId="4F8B90DF" w14:textId="77777777" w:rsidR="00BA70B1" w:rsidRDefault="00BA70B1" w:rsidP="001454AC">
      <w:pPr>
        <w:ind w:left="1134"/>
        <w:rPr>
          <w:rFonts w:cs="Arial"/>
          <w:szCs w:val="20"/>
          <w:lang w:eastAsia="en-CA"/>
        </w:rPr>
      </w:pPr>
      <w:r>
        <w:rPr>
          <w:rFonts w:cs="Arial"/>
          <w:b/>
          <w:szCs w:val="20"/>
          <w:lang w:eastAsia="en-CA"/>
        </w:rPr>
        <w:t>Party</w:t>
      </w:r>
      <w:r>
        <w:rPr>
          <w:rFonts w:cs="Arial"/>
          <w:szCs w:val="20"/>
          <w:lang w:eastAsia="en-CA"/>
        </w:rPr>
        <w:t xml:space="preserve"> means a party to this Agreement, and </w:t>
      </w:r>
      <w:r>
        <w:rPr>
          <w:rFonts w:cs="Arial"/>
          <w:b/>
          <w:szCs w:val="20"/>
          <w:lang w:eastAsia="en-CA"/>
        </w:rPr>
        <w:t>Parties</w:t>
      </w:r>
      <w:r>
        <w:rPr>
          <w:rFonts w:cs="Arial"/>
          <w:szCs w:val="20"/>
          <w:lang w:eastAsia="en-CA"/>
        </w:rPr>
        <w:t xml:space="preserve"> means </w:t>
      </w:r>
      <w:proofErr w:type="gramStart"/>
      <w:r>
        <w:rPr>
          <w:rFonts w:cs="Arial"/>
          <w:szCs w:val="20"/>
          <w:lang w:eastAsia="en-CA"/>
        </w:rPr>
        <w:t>both of them</w:t>
      </w:r>
      <w:proofErr w:type="gramEnd"/>
      <w:r>
        <w:rPr>
          <w:rFonts w:cs="Arial"/>
          <w:szCs w:val="20"/>
          <w:lang w:eastAsia="en-CA"/>
        </w:rPr>
        <w:t>.</w:t>
      </w:r>
    </w:p>
    <w:p w14:paraId="4953E5B5" w14:textId="77777777" w:rsidR="00BA70B1" w:rsidRDefault="00BA70B1" w:rsidP="001454AC">
      <w:pPr>
        <w:ind w:left="1134"/>
        <w:outlineLvl w:val="1"/>
        <w:rPr>
          <w:rFonts w:cs="Arial"/>
          <w:szCs w:val="20"/>
          <w:lang w:eastAsia="en-CA"/>
        </w:rPr>
      </w:pPr>
      <w:r>
        <w:rPr>
          <w:rFonts w:cs="Arial"/>
          <w:b/>
          <w:szCs w:val="20"/>
          <w:lang w:eastAsia="en-CA"/>
        </w:rPr>
        <w:t>Trading Day</w:t>
      </w:r>
      <w:r>
        <w:rPr>
          <w:rFonts w:cs="Arial"/>
          <w:szCs w:val="20"/>
          <w:lang w:eastAsia="en-CA"/>
        </w:rPr>
        <w:t xml:space="preserve"> has the meaning given to that term in the Rule Book.</w:t>
      </w:r>
    </w:p>
    <w:p w14:paraId="32A03B14" w14:textId="713FEB68" w:rsidR="00BA70B1" w:rsidRDefault="00BA70B1" w:rsidP="001454AC">
      <w:pPr>
        <w:ind w:left="1134"/>
        <w:outlineLvl w:val="1"/>
        <w:rPr>
          <w:rFonts w:cs="Arial"/>
          <w:szCs w:val="20"/>
          <w:lang w:eastAsia="en-CA"/>
        </w:rPr>
      </w:pPr>
      <w:r>
        <w:rPr>
          <w:rFonts w:cs="Arial"/>
          <w:b/>
          <w:szCs w:val="20"/>
          <w:lang w:eastAsia="en-CA"/>
        </w:rPr>
        <w:t>Rule Book</w:t>
      </w:r>
      <w:r>
        <w:rPr>
          <w:rFonts w:cs="Arial"/>
          <w:szCs w:val="20"/>
          <w:lang w:eastAsia="en-CA"/>
        </w:rPr>
        <w:t xml:space="preserve"> means the rule book of the </w:t>
      </w:r>
      <w:bookmarkStart w:id="11" w:name="OLE_LINK11"/>
      <w:r w:rsidR="005F2750">
        <w:rPr>
          <w:rFonts w:cs="Arial"/>
          <w:szCs w:val="20"/>
          <w:lang w:eastAsia="en-CA"/>
        </w:rPr>
        <w:t xml:space="preserve">LSEG FX EU </w:t>
      </w:r>
      <w:bookmarkEnd w:id="11"/>
      <w:r>
        <w:rPr>
          <w:rFonts w:cs="Arial"/>
          <w:szCs w:val="20"/>
          <w:lang w:eastAsia="en-CA"/>
        </w:rPr>
        <w:t>MTF.</w:t>
      </w:r>
    </w:p>
    <w:p w14:paraId="48073E70" w14:textId="3C36F3C9" w:rsidR="00BA70B1" w:rsidRDefault="00BA70B1" w:rsidP="001454AC">
      <w:pPr>
        <w:ind w:left="1134"/>
        <w:outlineLvl w:val="1"/>
        <w:rPr>
          <w:rFonts w:cs="Arial"/>
          <w:szCs w:val="20"/>
          <w:lang w:eastAsia="en-CA"/>
        </w:rPr>
      </w:pPr>
      <w:r>
        <w:rPr>
          <w:rFonts w:cs="Arial"/>
          <w:b/>
          <w:szCs w:val="20"/>
        </w:rPr>
        <w:t>Venue</w:t>
      </w:r>
      <w:r>
        <w:rPr>
          <w:rFonts w:cs="Arial"/>
          <w:szCs w:val="20"/>
        </w:rPr>
        <w:t xml:space="preserve"> means the Forwards Matching trading segment of the </w:t>
      </w:r>
      <w:r w:rsidR="005F2750">
        <w:rPr>
          <w:rFonts w:cs="Arial"/>
          <w:szCs w:val="20"/>
          <w:lang w:eastAsia="en-CA"/>
        </w:rPr>
        <w:t xml:space="preserve">LSEG FX EU </w:t>
      </w:r>
      <w:r>
        <w:rPr>
          <w:rFonts w:cs="Arial"/>
          <w:szCs w:val="20"/>
        </w:rPr>
        <w:t>MTF.</w:t>
      </w:r>
    </w:p>
    <w:p w14:paraId="58F3362A" w14:textId="544ACA9F" w:rsidR="00BA70B1" w:rsidRDefault="00BA70B1" w:rsidP="00BA70B1">
      <w:pPr>
        <w:pStyle w:val="Heading2"/>
        <w:rPr>
          <w:rFonts w:cs="Times New Roman"/>
          <w:lang w:eastAsia="en-GB"/>
        </w:rPr>
      </w:pPr>
      <w:bookmarkStart w:id="12" w:name="_Hlk5187889"/>
      <w:bookmarkStart w:id="13" w:name="_Hlk5187432"/>
      <w:bookmarkEnd w:id="8"/>
      <w:bookmarkEnd w:id="9"/>
      <w:r>
        <w:t>Scope And Market Making Obligations</w:t>
      </w:r>
    </w:p>
    <w:p w14:paraId="0571BD2E" w14:textId="77777777" w:rsidR="00BA70B1" w:rsidRDefault="00BA70B1" w:rsidP="00BA70B1">
      <w:pPr>
        <w:pStyle w:val="Heading4"/>
      </w:pPr>
      <w:bookmarkStart w:id="14" w:name="_Ref496201762"/>
      <w:bookmarkEnd w:id="10"/>
      <w:r>
        <w:t>This Addendum applies to Market Maker’s activity on the Venue via Matching API (MAPI) only.</w:t>
      </w:r>
    </w:p>
    <w:p w14:paraId="777351F8" w14:textId="77777777" w:rsidR="00BA70B1" w:rsidRDefault="00BA70B1" w:rsidP="00BA70B1">
      <w:pPr>
        <w:pStyle w:val="Heading4"/>
      </w:pPr>
      <w:r>
        <w:t xml:space="preserve">From the Commencement Date, except in Exceptional Circumstances, Market Maker shall post simultaneous two-way quotes of comparable size and competitive prices in at least one Financial Instrument on the Venue for at least 50%, in aggregate, of each Trading Day and on at least 50% of all </w:t>
      </w:r>
      <w:r>
        <w:rPr>
          <w:lang w:eastAsia="en-CA"/>
        </w:rPr>
        <w:t>Trading Days in any calendar month</w:t>
      </w:r>
      <w:r>
        <w:t>.</w:t>
      </w:r>
      <w:bookmarkEnd w:id="14"/>
    </w:p>
    <w:p w14:paraId="1E1C8325" w14:textId="77777777" w:rsidR="00BA70B1" w:rsidRDefault="00BA70B1" w:rsidP="00BA70B1">
      <w:pPr>
        <w:pStyle w:val="Heading4"/>
      </w:pPr>
      <w:r>
        <w:t>Quotes shall be deemed simultaneous two-way quotes if they are posted in such a way that both the bid and the ask-price are present in the order book at the same time.</w:t>
      </w:r>
    </w:p>
    <w:p w14:paraId="46DFD338" w14:textId="77777777" w:rsidR="00BA70B1" w:rsidRDefault="00BA70B1" w:rsidP="00BA70B1">
      <w:pPr>
        <w:pStyle w:val="Heading4"/>
      </w:pPr>
      <w:r>
        <w:t>Two quotes shall be deemed of comparable size when their sizes do not diverge by more than 50 % from each other.</w:t>
      </w:r>
    </w:p>
    <w:p w14:paraId="13B6EEB4" w14:textId="77777777" w:rsidR="00BA70B1" w:rsidRDefault="00BA70B1" w:rsidP="00BA70B1">
      <w:pPr>
        <w:pStyle w:val="Heading4"/>
      </w:pPr>
      <w:r>
        <w:t>Quotes shall be deemed to have competitive prices where they are posted at the top of the book or one price level from the top of the book.</w:t>
      </w:r>
    </w:p>
    <w:p w14:paraId="6BF01D52" w14:textId="77777777" w:rsidR="00BA70B1" w:rsidRDefault="00BA70B1" w:rsidP="005F2750">
      <w:pPr>
        <w:pStyle w:val="Heading4"/>
      </w:pPr>
      <w:r>
        <w:t>Market Maker shall resume trading as soon as it is reasonably able to do so after volatility interruptions.</w:t>
      </w:r>
    </w:p>
    <w:p w14:paraId="75A1B9E3" w14:textId="76C870FD" w:rsidR="00BA70B1" w:rsidRDefault="00BA70B1" w:rsidP="00BA70B1">
      <w:pPr>
        <w:pStyle w:val="Heading2"/>
        <w:rPr>
          <w:rFonts w:cs="Times New Roman"/>
        </w:rPr>
      </w:pPr>
      <w:bookmarkStart w:id="15" w:name="_Hlk5188135"/>
      <w:bookmarkEnd w:id="12"/>
      <w:r>
        <w:t xml:space="preserve">Surveillance, Compliance </w:t>
      </w:r>
      <w:proofErr w:type="gramStart"/>
      <w:r>
        <w:t>And</w:t>
      </w:r>
      <w:proofErr w:type="gramEnd"/>
      <w:r>
        <w:t xml:space="preserve"> Audit Obligations</w:t>
      </w:r>
    </w:p>
    <w:p w14:paraId="58653745" w14:textId="77777777" w:rsidR="00BA70B1" w:rsidRPr="001454AC" w:rsidRDefault="00BA70B1" w:rsidP="001454AC">
      <w:pPr>
        <w:pStyle w:val="Heading4"/>
      </w:pPr>
      <w:r w:rsidRPr="001454AC">
        <w:t xml:space="preserve">Market Maker shall maintain surveillance, </w:t>
      </w:r>
      <w:proofErr w:type="gramStart"/>
      <w:r w:rsidRPr="001454AC">
        <w:t>compliance</w:t>
      </w:r>
      <w:proofErr w:type="gramEnd"/>
      <w:r w:rsidRPr="001454AC">
        <w:t xml:space="preserve"> and audit procedures to enable it to monitor its market making activity.</w:t>
      </w:r>
    </w:p>
    <w:p w14:paraId="3E062B02" w14:textId="77777777" w:rsidR="00BA70B1" w:rsidRPr="00EF305E" w:rsidRDefault="00BA70B1" w:rsidP="00BA70B1">
      <w:pPr>
        <w:pStyle w:val="Heading4"/>
      </w:pPr>
      <w:r>
        <w:t>Market Maker shall flag firm quotes submitted to the Venue pursuant to clause 2.1 in order to distinguish those quotes from other order flows.</w:t>
      </w:r>
    </w:p>
    <w:p w14:paraId="0DACB682" w14:textId="77777777" w:rsidR="00BA70B1" w:rsidRPr="00EF305E" w:rsidRDefault="00BA70B1" w:rsidP="00BA70B1">
      <w:pPr>
        <w:pStyle w:val="Heading4"/>
      </w:pPr>
      <w:bookmarkStart w:id="16" w:name="_Hlk5188307"/>
      <w:bookmarkStart w:id="17" w:name="_Hlk5188252"/>
      <w:bookmarkStart w:id="18" w:name="_Hlk5186430"/>
      <w:bookmarkEnd w:id="7"/>
      <w:bookmarkEnd w:id="13"/>
      <w:bookmarkEnd w:id="15"/>
      <w:r>
        <w:t>Market Maker shall maintain records of firm quotes and transactions relating to its market making activities, which are clearly distinguished from other trading activities and to make those records available to FRTSIL and the Central Bank of Ireland (CBI) upon request.</w:t>
      </w:r>
    </w:p>
    <w:p w14:paraId="35E25758" w14:textId="03BB6EBE" w:rsidR="00BA70B1" w:rsidRDefault="00BA70B1" w:rsidP="00BA70B1">
      <w:pPr>
        <w:pStyle w:val="Heading2"/>
      </w:pPr>
      <w:r>
        <w:lastRenderedPageBreak/>
        <w:t>Exceptional Circumstances</w:t>
      </w:r>
    </w:p>
    <w:p w14:paraId="473D94B3" w14:textId="77777777" w:rsidR="00BA70B1" w:rsidRPr="00EF305E" w:rsidRDefault="00BA70B1" w:rsidP="00BA70B1">
      <w:pPr>
        <w:pStyle w:val="Heading4"/>
      </w:pPr>
      <w:r>
        <w:t>FRTSIL shall endeavour to notify Market Maker if it believes that any of the circumstances in points (a), (b), (c) or (e) of the definition of Exceptional Circumstances exists and of the resumption of trading after the Exceptional Circumstances have ceased to exist.</w:t>
      </w:r>
    </w:p>
    <w:p w14:paraId="207E66AE" w14:textId="7E54EA47" w:rsidR="00BA70B1" w:rsidRPr="00EF305E" w:rsidRDefault="00BA70B1" w:rsidP="00BA70B1">
      <w:pPr>
        <w:pStyle w:val="Heading4"/>
      </w:pPr>
      <w:r>
        <w:t xml:space="preserve">Market Maker shall notify FRTSIL as soon as reasonably practicable if it believes that an Exceptional Circumstance relevant to the Market Maker’s obligations under this Addendum exists. Notification shall be by sending an email to: </w:t>
      </w:r>
      <w:hyperlink r:id="rId7" w:history="1">
        <w:r w:rsidR="005F2750" w:rsidRPr="00CC71CD">
          <w:rPr>
            <w:rStyle w:val="Hyperlink"/>
          </w:rPr>
          <w:t>marketconduct@lseg.com</w:t>
        </w:r>
      </w:hyperlink>
      <w:r>
        <w:t>.</w:t>
      </w:r>
      <w:r w:rsidRPr="00EF305E">
        <w:t xml:space="preserve"> </w:t>
      </w:r>
    </w:p>
    <w:bookmarkEnd w:id="16"/>
    <w:p w14:paraId="2C35D7E9" w14:textId="4DAD5FD6" w:rsidR="00BA70B1" w:rsidRDefault="00BA70B1" w:rsidP="00BA70B1">
      <w:pPr>
        <w:pStyle w:val="Heading2"/>
      </w:pPr>
      <w:r>
        <w:t>Duration</w:t>
      </w:r>
    </w:p>
    <w:p w14:paraId="28A8D00D" w14:textId="77777777" w:rsidR="00BA70B1" w:rsidRDefault="00BA70B1" w:rsidP="001454AC">
      <w:pPr>
        <w:tabs>
          <w:tab w:val="left" w:pos="567"/>
        </w:tabs>
        <w:ind w:left="567"/>
        <w:rPr>
          <w:rFonts w:cs="Arial"/>
          <w:b/>
          <w:szCs w:val="20"/>
        </w:rPr>
      </w:pPr>
      <w:r>
        <w:rPr>
          <w:rFonts w:cs="Arial"/>
          <w:szCs w:val="20"/>
        </w:rPr>
        <w:t xml:space="preserve">This Addendum will automatically terminate </w:t>
      </w:r>
      <w:proofErr w:type="gramStart"/>
      <w:r>
        <w:rPr>
          <w:rFonts w:cs="Arial"/>
          <w:szCs w:val="20"/>
        </w:rPr>
        <w:t>if and when</w:t>
      </w:r>
      <w:proofErr w:type="gramEnd"/>
      <w:r>
        <w:rPr>
          <w:rFonts w:cs="Arial"/>
          <w:szCs w:val="20"/>
        </w:rPr>
        <w:t xml:space="preserve"> the Forwards MAPI Agreement between FRTSIL and the Market Maker is effectively terminated for whatever reason.</w:t>
      </w:r>
    </w:p>
    <w:p w14:paraId="6F42445B" w14:textId="6F560393" w:rsidR="00BA70B1" w:rsidRDefault="00BA70B1" w:rsidP="00BA70B1">
      <w:pPr>
        <w:pStyle w:val="Heading2"/>
        <w:rPr>
          <w:rFonts w:cs="Times New Roman"/>
        </w:rPr>
      </w:pPr>
      <w:r>
        <w:t>Miscellaneous</w:t>
      </w:r>
    </w:p>
    <w:p w14:paraId="5C455BC1" w14:textId="77777777" w:rsidR="00BA70B1" w:rsidRDefault="00BA70B1" w:rsidP="00BA70B1">
      <w:pPr>
        <w:pStyle w:val="Heading4"/>
      </w:pPr>
      <w:r>
        <w:t>Except as expressly modified by this Addendum, the terms of the Forwards MAPI Agreement remain unamended and in full force and effect. The terms of this Addendum shall prevail over any conflicting term of the Forwards MAPI Agreement.</w:t>
      </w:r>
    </w:p>
    <w:p w14:paraId="6BDDEF53" w14:textId="77777777" w:rsidR="00BA70B1" w:rsidRDefault="00BA70B1" w:rsidP="00BA70B1">
      <w:pPr>
        <w:pStyle w:val="Heading4"/>
      </w:pPr>
      <w:r>
        <w:t>Except as set out herein, any notice required to be given under this Addendum or the Rule Book by the Market Maker shall be given in accordance with the procedures prescribed by the Rule Book.</w:t>
      </w:r>
    </w:p>
    <w:p w14:paraId="3C3338CA" w14:textId="77777777" w:rsidR="00BA70B1" w:rsidRDefault="00BA70B1" w:rsidP="00BA70B1">
      <w:pPr>
        <w:pStyle w:val="Heading4"/>
      </w:pPr>
      <w:r>
        <w:t>Governing law and jurisdiction. This Addendum shall be construed and interpreted in accordance with, and any dispute arising out of this Addendum shall be resolved in accordance with, the provisions relating to governing law and dispute resolution under the Forwards MAPI Agreement between the Market Maker and FRTSIL.</w:t>
      </w:r>
    </w:p>
    <w:p w14:paraId="14167E1E" w14:textId="77777777" w:rsidR="00BA70B1" w:rsidRPr="001454AC" w:rsidRDefault="00BA70B1" w:rsidP="001454AC"/>
    <w:p w14:paraId="3DF10B7B" w14:textId="77777777" w:rsidR="00BA70B1" w:rsidRPr="001454AC" w:rsidRDefault="00BA70B1" w:rsidP="001454AC">
      <w:bookmarkStart w:id="19" w:name="_Hlk5188545"/>
      <w:r w:rsidRPr="001454AC">
        <w:rPr>
          <w:b/>
          <w:bCs/>
        </w:rPr>
        <w:t>IN WITNESS</w:t>
      </w:r>
      <w:r w:rsidRPr="001454AC">
        <w:t xml:space="preserve"> whereof the Parties have </w:t>
      </w:r>
      <w:proofErr w:type="gramStart"/>
      <w:r w:rsidRPr="001454AC">
        <w:t>entered into</w:t>
      </w:r>
      <w:proofErr w:type="gramEnd"/>
      <w:r w:rsidRPr="001454AC">
        <w:t xml:space="preserve"> this Addendum on the last signature date by the Parties below.</w:t>
      </w:r>
    </w:p>
    <w:tbl>
      <w:tblPr>
        <w:tblpPr w:leftFromText="180" w:rightFromText="180" w:vertAnchor="text" w:horzAnchor="margin" w:tblpXSpec="center" w:tblpY="48"/>
        <w:tblW w:w="9039" w:type="dxa"/>
        <w:tblBorders>
          <w:top w:val="single" w:sz="6" w:space="0" w:color="333333"/>
          <w:left w:val="single" w:sz="6" w:space="0" w:color="333333"/>
          <w:bottom w:val="single" w:sz="6" w:space="0" w:color="333333"/>
          <w:right w:val="single" w:sz="6" w:space="0" w:color="333333"/>
        </w:tblBorders>
        <w:tblLook w:val="04A0" w:firstRow="1" w:lastRow="0" w:firstColumn="1" w:lastColumn="0" w:noHBand="0" w:noVBand="1"/>
      </w:tblPr>
      <w:tblGrid>
        <w:gridCol w:w="2634"/>
        <w:gridCol w:w="1727"/>
        <w:gridCol w:w="2953"/>
        <w:gridCol w:w="1725"/>
      </w:tblGrid>
      <w:tr w:rsidR="00BA70B1" w14:paraId="4E10F92E" w14:textId="77777777" w:rsidTr="00BA70B1">
        <w:trPr>
          <w:trHeight w:val="563"/>
        </w:trPr>
        <w:tc>
          <w:tcPr>
            <w:tcW w:w="4361" w:type="dxa"/>
            <w:gridSpan w:val="2"/>
            <w:tcBorders>
              <w:top w:val="single" w:sz="2" w:space="0" w:color="333333"/>
              <w:left w:val="single" w:sz="2" w:space="0" w:color="333333"/>
              <w:bottom w:val="single" w:sz="2" w:space="0" w:color="333333"/>
              <w:right w:val="single" w:sz="2" w:space="0" w:color="333333"/>
            </w:tcBorders>
            <w:noWrap/>
            <w:vAlign w:val="center"/>
            <w:hideMark/>
          </w:tcPr>
          <w:bookmarkEnd w:id="17"/>
          <w:p w14:paraId="63524B91" w14:textId="77777777" w:rsidR="00BA70B1" w:rsidRDefault="00BA70B1">
            <w:pPr>
              <w:rPr>
                <w:rFonts w:cs="Arial"/>
                <w:szCs w:val="20"/>
              </w:rPr>
            </w:pPr>
            <w:r w:rsidRPr="001454AC">
              <w:rPr>
                <w:rFonts w:cs="Arial"/>
                <w:bCs/>
                <w:szCs w:val="20"/>
              </w:rPr>
              <w:t xml:space="preserve">Signed on behalf of </w:t>
            </w:r>
            <w:r w:rsidRPr="001454AC">
              <w:rPr>
                <w:rFonts w:cs="Arial"/>
                <w:b/>
                <w:szCs w:val="20"/>
              </w:rPr>
              <w:t>Financial &amp; Risk Transaction Services Ireland Limited</w:t>
            </w:r>
          </w:p>
        </w:tc>
        <w:tc>
          <w:tcPr>
            <w:tcW w:w="4678" w:type="dxa"/>
            <w:gridSpan w:val="2"/>
            <w:tcBorders>
              <w:top w:val="single" w:sz="2" w:space="0" w:color="333333"/>
              <w:left w:val="single" w:sz="2" w:space="0" w:color="333333"/>
              <w:bottom w:val="single" w:sz="2" w:space="0" w:color="333333"/>
              <w:right w:val="single" w:sz="2" w:space="0" w:color="333333"/>
            </w:tcBorders>
            <w:vAlign w:val="center"/>
            <w:hideMark/>
          </w:tcPr>
          <w:p w14:paraId="6729EA5E" w14:textId="77777777" w:rsidR="00BA70B1" w:rsidRDefault="00BA70B1">
            <w:pPr>
              <w:rPr>
                <w:rFonts w:cs="Arial"/>
                <w:bCs/>
                <w:color w:val="000000"/>
                <w:szCs w:val="20"/>
              </w:rPr>
            </w:pPr>
            <w:r w:rsidRPr="001454AC">
              <w:rPr>
                <w:rFonts w:cs="Arial"/>
                <w:bCs/>
                <w:szCs w:val="20"/>
              </w:rPr>
              <w:t xml:space="preserve">Signed on behalf of </w:t>
            </w:r>
            <w:r w:rsidRPr="001454AC">
              <w:rPr>
                <w:rFonts w:cs="Arial"/>
                <w:b/>
                <w:bCs/>
                <w:szCs w:val="20"/>
                <w:lang w:val="en"/>
              </w:rPr>
              <w:t>Market Maker</w:t>
            </w:r>
          </w:p>
        </w:tc>
      </w:tr>
      <w:tr w:rsidR="00BA70B1" w14:paraId="605A2901" w14:textId="77777777" w:rsidTr="00BA70B1">
        <w:trPr>
          <w:trHeight w:val="534"/>
        </w:trPr>
        <w:tc>
          <w:tcPr>
            <w:tcW w:w="2634" w:type="dxa"/>
            <w:tcBorders>
              <w:top w:val="single" w:sz="2" w:space="0" w:color="333333"/>
              <w:left w:val="single" w:sz="2" w:space="0" w:color="333333"/>
              <w:bottom w:val="single" w:sz="2" w:space="0" w:color="333333"/>
              <w:right w:val="single" w:sz="2" w:space="0" w:color="333333"/>
            </w:tcBorders>
            <w:noWrap/>
          </w:tcPr>
          <w:p w14:paraId="7C343C2A" w14:textId="77777777" w:rsidR="00BA70B1" w:rsidRDefault="00BA70B1">
            <w:pPr>
              <w:spacing w:before="120"/>
              <w:rPr>
                <w:rFonts w:cs="Arial"/>
                <w:b/>
                <w:bCs/>
                <w:color w:val="000000"/>
                <w:szCs w:val="20"/>
              </w:rPr>
            </w:pPr>
          </w:p>
        </w:tc>
        <w:tc>
          <w:tcPr>
            <w:tcW w:w="1727" w:type="dxa"/>
            <w:tcBorders>
              <w:top w:val="single" w:sz="2" w:space="0" w:color="333333"/>
              <w:left w:val="single" w:sz="2" w:space="0" w:color="333333"/>
              <w:bottom w:val="single" w:sz="2" w:space="0" w:color="333333"/>
              <w:right w:val="single" w:sz="2" w:space="0" w:color="333333"/>
            </w:tcBorders>
            <w:vAlign w:val="bottom"/>
            <w:hideMark/>
          </w:tcPr>
          <w:p w14:paraId="7AF50B05" w14:textId="77777777" w:rsidR="00BA70B1" w:rsidRDefault="00BA70B1">
            <w:pPr>
              <w:spacing w:before="60" w:after="60"/>
              <w:jc w:val="right"/>
              <w:rPr>
                <w:rFonts w:cs="Arial"/>
                <w:color w:val="000000"/>
                <w:szCs w:val="20"/>
              </w:rPr>
            </w:pPr>
            <w:r w:rsidRPr="001454AC">
              <w:rPr>
                <w:rFonts w:cs="Arial"/>
                <w:szCs w:val="20"/>
              </w:rPr>
              <w:t>Signature</w:t>
            </w:r>
          </w:p>
        </w:tc>
        <w:tc>
          <w:tcPr>
            <w:tcW w:w="2953" w:type="dxa"/>
            <w:tcBorders>
              <w:top w:val="single" w:sz="2" w:space="0" w:color="333333"/>
              <w:left w:val="single" w:sz="2" w:space="0" w:color="333333"/>
              <w:bottom w:val="single" w:sz="2" w:space="0" w:color="333333"/>
              <w:right w:val="single" w:sz="2" w:space="0" w:color="333333"/>
            </w:tcBorders>
          </w:tcPr>
          <w:p w14:paraId="25B4B116" w14:textId="77777777" w:rsidR="00BA70B1" w:rsidRDefault="00BA70B1">
            <w:pPr>
              <w:spacing w:before="120"/>
              <w:rPr>
                <w:rFonts w:cs="Arial"/>
                <w:b/>
                <w:bCs/>
                <w:color w:val="000000"/>
                <w:szCs w:val="20"/>
              </w:rPr>
            </w:pPr>
          </w:p>
        </w:tc>
        <w:tc>
          <w:tcPr>
            <w:tcW w:w="1725" w:type="dxa"/>
            <w:tcBorders>
              <w:top w:val="single" w:sz="2" w:space="0" w:color="333333"/>
              <w:left w:val="single" w:sz="2" w:space="0" w:color="333333"/>
              <w:bottom w:val="single" w:sz="2" w:space="0" w:color="333333"/>
              <w:right w:val="single" w:sz="2" w:space="0" w:color="333333"/>
            </w:tcBorders>
            <w:noWrap/>
            <w:vAlign w:val="bottom"/>
            <w:hideMark/>
          </w:tcPr>
          <w:p w14:paraId="1FFA4C9F" w14:textId="77777777" w:rsidR="00BA70B1" w:rsidRDefault="00BA70B1">
            <w:pPr>
              <w:spacing w:before="60" w:after="60"/>
              <w:jc w:val="right"/>
              <w:rPr>
                <w:rFonts w:cs="Arial"/>
                <w:color w:val="000000"/>
                <w:szCs w:val="20"/>
              </w:rPr>
            </w:pPr>
            <w:r w:rsidRPr="001454AC">
              <w:rPr>
                <w:rFonts w:cs="Arial"/>
                <w:szCs w:val="20"/>
              </w:rPr>
              <w:t>Signature</w:t>
            </w:r>
          </w:p>
        </w:tc>
      </w:tr>
      <w:tr w:rsidR="00BA70B1" w14:paraId="5674540E" w14:textId="77777777" w:rsidTr="00BA70B1">
        <w:trPr>
          <w:trHeight w:val="530"/>
        </w:trPr>
        <w:tc>
          <w:tcPr>
            <w:tcW w:w="2634" w:type="dxa"/>
            <w:tcBorders>
              <w:top w:val="single" w:sz="2" w:space="0" w:color="333333"/>
              <w:left w:val="single" w:sz="2" w:space="0" w:color="333333"/>
              <w:bottom w:val="single" w:sz="2" w:space="0" w:color="333333"/>
              <w:right w:val="single" w:sz="2" w:space="0" w:color="333333"/>
            </w:tcBorders>
            <w:noWrap/>
            <w:vAlign w:val="center"/>
          </w:tcPr>
          <w:p w14:paraId="7DE402DF" w14:textId="77777777" w:rsidR="00BA70B1" w:rsidRDefault="00BA70B1">
            <w:pPr>
              <w:widowControl w:val="0"/>
              <w:ind w:right="177"/>
              <w:rPr>
                <w:rFonts w:cs="Arial"/>
                <w:color w:val="000000"/>
                <w:szCs w:val="20"/>
              </w:rPr>
            </w:pPr>
          </w:p>
        </w:tc>
        <w:tc>
          <w:tcPr>
            <w:tcW w:w="1727" w:type="dxa"/>
            <w:tcBorders>
              <w:top w:val="single" w:sz="2" w:space="0" w:color="333333"/>
              <w:left w:val="single" w:sz="2" w:space="0" w:color="333333"/>
              <w:bottom w:val="single" w:sz="2" w:space="0" w:color="333333"/>
              <w:right w:val="single" w:sz="2" w:space="0" w:color="333333"/>
            </w:tcBorders>
            <w:vAlign w:val="bottom"/>
            <w:hideMark/>
          </w:tcPr>
          <w:p w14:paraId="2F4F1A5A" w14:textId="77777777" w:rsidR="00BA70B1" w:rsidRDefault="00BA70B1">
            <w:pPr>
              <w:spacing w:before="60" w:after="60"/>
              <w:jc w:val="right"/>
              <w:rPr>
                <w:rFonts w:cs="Arial"/>
                <w:color w:val="000000"/>
                <w:szCs w:val="20"/>
              </w:rPr>
            </w:pPr>
            <w:r w:rsidRPr="001454AC">
              <w:rPr>
                <w:rFonts w:cs="Arial"/>
                <w:szCs w:val="20"/>
              </w:rPr>
              <w:t>Print Name</w:t>
            </w:r>
          </w:p>
        </w:tc>
        <w:tc>
          <w:tcPr>
            <w:tcW w:w="2953" w:type="dxa"/>
            <w:tcBorders>
              <w:top w:val="single" w:sz="2" w:space="0" w:color="333333"/>
              <w:left w:val="single" w:sz="2" w:space="0" w:color="333333"/>
              <w:bottom w:val="single" w:sz="2" w:space="0" w:color="333333"/>
              <w:right w:val="single" w:sz="2" w:space="0" w:color="333333"/>
            </w:tcBorders>
            <w:vAlign w:val="center"/>
          </w:tcPr>
          <w:p w14:paraId="08B2B38F" w14:textId="77777777" w:rsidR="00BA70B1" w:rsidRDefault="00BA70B1">
            <w:pPr>
              <w:widowControl w:val="0"/>
              <w:ind w:right="177"/>
              <w:rPr>
                <w:rFonts w:cs="Arial"/>
                <w:b/>
                <w:szCs w:val="20"/>
              </w:rPr>
            </w:pPr>
          </w:p>
        </w:tc>
        <w:tc>
          <w:tcPr>
            <w:tcW w:w="1725" w:type="dxa"/>
            <w:tcBorders>
              <w:top w:val="single" w:sz="2" w:space="0" w:color="333333"/>
              <w:left w:val="single" w:sz="2" w:space="0" w:color="333333"/>
              <w:bottom w:val="single" w:sz="2" w:space="0" w:color="333333"/>
              <w:right w:val="single" w:sz="2" w:space="0" w:color="333333"/>
            </w:tcBorders>
            <w:noWrap/>
            <w:vAlign w:val="bottom"/>
            <w:hideMark/>
          </w:tcPr>
          <w:p w14:paraId="4A9F25A7" w14:textId="77777777" w:rsidR="00BA70B1" w:rsidRDefault="00BA70B1">
            <w:pPr>
              <w:spacing w:before="60" w:after="60"/>
              <w:jc w:val="right"/>
              <w:rPr>
                <w:rFonts w:cs="Arial"/>
                <w:color w:val="000000"/>
                <w:szCs w:val="20"/>
              </w:rPr>
            </w:pPr>
            <w:r w:rsidRPr="001454AC">
              <w:rPr>
                <w:rFonts w:cs="Arial"/>
                <w:szCs w:val="20"/>
              </w:rPr>
              <w:t>Print Name</w:t>
            </w:r>
          </w:p>
        </w:tc>
      </w:tr>
      <w:tr w:rsidR="00BA70B1" w14:paraId="58D7C52D" w14:textId="77777777" w:rsidTr="00BA70B1">
        <w:trPr>
          <w:trHeight w:val="524"/>
        </w:trPr>
        <w:tc>
          <w:tcPr>
            <w:tcW w:w="2634" w:type="dxa"/>
            <w:tcBorders>
              <w:top w:val="single" w:sz="2" w:space="0" w:color="333333"/>
              <w:left w:val="single" w:sz="2" w:space="0" w:color="333333"/>
              <w:bottom w:val="single" w:sz="2" w:space="0" w:color="333333"/>
              <w:right w:val="single" w:sz="2" w:space="0" w:color="333333"/>
            </w:tcBorders>
            <w:noWrap/>
            <w:vAlign w:val="center"/>
          </w:tcPr>
          <w:p w14:paraId="47C97580" w14:textId="77777777" w:rsidR="00BA70B1" w:rsidRDefault="00BA70B1">
            <w:pPr>
              <w:rPr>
                <w:rFonts w:cs="Arial"/>
                <w:b/>
                <w:color w:val="000000"/>
                <w:szCs w:val="20"/>
              </w:rPr>
            </w:pPr>
          </w:p>
        </w:tc>
        <w:tc>
          <w:tcPr>
            <w:tcW w:w="1727" w:type="dxa"/>
            <w:tcBorders>
              <w:top w:val="single" w:sz="2" w:space="0" w:color="333333"/>
              <w:left w:val="single" w:sz="2" w:space="0" w:color="333333"/>
              <w:bottom w:val="single" w:sz="2" w:space="0" w:color="333333"/>
              <w:right w:val="single" w:sz="2" w:space="0" w:color="333333"/>
            </w:tcBorders>
            <w:vAlign w:val="bottom"/>
            <w:hideMark/>
          </w:tcPr>
          <w:p w14:paraId="16AD963B" w14:textId="77777777" w:rsidR="00BA70B1" w:rsidRDefault="00BA70B1">
            <w:pPr>
              <w:spacing w:before="60" w:after="60"/>
              <w:jc w:val="right"/>
              <w:rPr>
                <w:rFonts w:cs="Arial"/>
                <w:color w:val="000000"/>
                <w:szCs w:val="20"/>
              </w:rPr>
            </w:pPr>
            <w:r w:rsidRPr="001454AC">
              <w:rPr>
                <w:rFonts w:cs="Arial"/>
                <w:szCs w:val="20"/>
              </w:rPr>
              <w:t>Position</w:t>
            </w:r>
          </w:p>
        </w:tc>
        <w:tc>
          <w:tcPr>
            <w:tcW w:w="2953" w:type="dxa"/>
            <w:tcBorders>
              <w:top w:val="single" w:sz="2" w:space="0" w:color="333333"/>
              <w:left w:val="single" w:sz="2" w:space="0" w:color="333333"/>
              <w:bottom w:val="single" w:sz="2" w:space="0" w:color="333333"/>
              <w:right w:val="single" w:sz="2" w:space="0" w:color="333333"/>
            </w:tcBorders>
            <w:vAlign w:val="center"/>
          </w:tcPr>
          <w:p w14:paraId="1C690A09" w14:textId="77777777" w:rsidR="00BA70B1" w:rsidRDefault="00BA70B1">
            <w:pPr>
              <w:rPr>
                <w:rFonts w:cs="Arial"/>
                <w:b/>
                <w:color w:val="000000"/>
                <w:szCs w:val="20"/>
              </w:rPr>
            </w:pPr>
          </w:p>
        </w:tc>
        <w:tc>
          <w:tcPr>
            <w:tcW w:w="1725" w:type="dxa"/>
            <w:tcBorders>
              <w:top w:val="single" w:sz="2" w:space="0" w:color="333333"/>
              <w:left w:val="single" w:sz="2" w:space="0" w:color="333333"/>
              <w:bottom w:val="single" w:sz="2" w:space="0" w:color="333333"/>
              <w:right w:val="single" w:sz="2" w:space="0" w:color="333333"/>
            </w:tcBorders>
            <w:noWrap/>
            <w:vAlign w:val="bottom"/>
            <w:hideMark/>
          </w:tcPr>
          <w:p w14:paraId="04B2C261" w14:textId="77777777" w:rsidR="00BA70B1" w:rsidRDefault="00BA70B1">
            <w:pPr>
              <w:spacing w:before="60" w:after="60"/>
              <w:jc w:val="right"/>
              <w:rPr>
                <w:rFonts w:cs="Arial"/>
                <w:color w:val="000000"/>
                <w:szCs w:val="20"/>
              </w:rPr>
            </w:pPr>
            <w:r w:rsidRPr="001454AC">
              <w:rPr>
                <w:rFonts w:cs="Arial"/>
                <w:szCs w:val="20"/>
              </w:rPr>
              <w:t>Position</w:t>
            </w:r>
          </w:p>
        </w:tc>
      </w:tr>
      <w:tr w:rsidR="00BA70B1" w14:paraId="43B8F15E" w14:textId="77777777" w:rsidTr="00BA70B1">
        <w:trPr>
          <w:trHeight w:val="336"/>
        </w:trPr>
        <w:tc>
          <w:tcPr>
            <w:tcW w:w="2634" w:type="dxa"/>
            <w:tcBorders>
              <w:top w:val="single" w:sz="2" w:space="0" w:color="333333"/>
              <w:left w:val="single" w:sz="2" w:space="0" w:color="333333"/>
              <w:bottom w:val="single" w:sz="2" w:space="0" w:color="333333"/>
              <w:right w:val="single" w:sz="2" w:space="0" w:color="333333"/>
            </w:tcBorders>
            <w:noWrap/>
            <w:vAlign w:val="center"/>
          </w:tcPr>
          <w:p w14:paraId="68B42331" w14:textId="77777777" w:rsidR="00BA70B1" w:rsidRDefault="00BA70B1">
            <w:pPr>
              <w:rPr>
                <w:rFonts w:cs="Arial"/>
                <w:color w:val="000000"/>
                <w:szCs w:val="20"/>
              </w:rPr>
            </w:pPr>
          </w:p>
        </w:tc>
        <w:tc>
          <w:tcPr>
            <w:tcW w:w="1727" w:type="dxa"/>
            <w:tcBorders>
              <w:top w:val="single" w:sz="2" w:space="0" w:color="333333"/>
              <w:left w:val="single" w:sz="2" w:space="0" w:color="333333"/>
              <w:bottom w:val="single" w:sz="2" w:space="0" w:color="333333"/>
              <w:right w:val="single" w:sz="2" w:space="0" w:color="333333"/>
            </w:tcBorders>
            <w:hideMark/>
          </w:tcPr>
          <w:p w14:paraId="61B6F274" w14:textId="77777777" w:rsidR="00BA70B1" w:rsidRDefault="00BA70B1">
            <w:pPr>
              <w:spacing w:before="60" w:after="60"/>
              <w:jc w:val="right"/>
              <w:rPr>
                <w:rFonts w:cs="Arial"/>
                <w:color w:val="000000"/>
                <w:szCs w:val="20"/>
              </w:rPr>
            </w:pPr>
            <w:r w:rsidRPr="001454AC">
              <w:rPr>
                <w:rFonts w:cs="Arial"/>
                <w:szCs w:val="20"/>
              </w:rPr>
              <w:t>Date</w:t>
            </w:r>
          </w:p>
        </w:tc>
        <w:tc>
          <w:tcPr>
            <w:tcW w:w="2953" w:type="dxa"/>
            <w:tcBorders>
              <w:top w:val="single" w:sz="2" w:space="0" w:color="333333"/>
              <w:left w:val="single" w:sz="2" w:space="0" w:color="333333"/>
              <w:bottom w:val="single" w:sz="2" w:space="0" w:color="333333"/>
              <w:right w:val="single" w:sz="2" w:space="0" w:color="333333"/>
            </w:tcBorders>
          </w:tcPr>
          <w:p w14:paraId="42803C4F" w14:textId="77777777" w:rsidR="00BA70B1" w:rsidRDefault="00BA70B1">
            <w:pPr>
              <w:spacing w:before="120"/>
              <w:rPr>
                <w:rFonts w:cs="Arial"/>
                <w:bCs/>
                <w:color w:val="000000"/>
                <w:szCs w:val="20"/>
              </w:rPr>
            </w:pPr>
          </w:p>
        </w:tc>
        <w:tc>
          <w:tcPr>
            <w:tcW w:w="1725" w:type="dxa"/>
            <w:tcBorders>
              <w:top w:val="single" w:sz="2" w:space="0" w:color="333333"/>
              <w:left w:val="single" w:sz="2" w:space="0" w:color="333333"/>
              <w:bottom w:val="single" w:sz="2" w:space="0" w:color="333333"/>
              <w:right w:val="single" w:sz="2" w:space="0" w:color="333333"/>
            </w:tcBorders>
            <w:noWrap/>
            <w:hideMark/>
          </w:tcPr>
          <w:p w14:paraId="4C967951" w14:textId="77777777" w:rsidR="00BA70B1" w:rsidRDefault="00BA70B1">
            <w:pPr>
              <w:spacing w:before="60" w:after="60"/>
              <w:jc w:val="right"/>
              <w:rPr>
                <w:rFonts w:cs="Arial"/>
                <w:color w:val="000000"/>
                <w:szCs w:val="20"/>
              </w:rPr>
            </w:pPr>
            <w:r w:rsidRPr="001454AC">
              <w:rPr>
                <w:rFonts w:cs="Arial"/>
                <w:szCs w:val="20"/>
              </w:rPr>
              <w:t>Date</w:t>
            </w:r>
          </w:p>
        </w:tc>
      </w:tr>
    </w:tbl>
    <w:p w14:paraId="29106DEE" w14:textId="77777777" w:rsidR="00BA70B1" w:rsidRPr="001454AC" w:rsidRDefault="00BA70B1" w:rsidP="001454AC">
      <w:pPr>
        <w:rPr>
          <w:lang w:val="en-GB" w:eastAsia="en-CA"/>
        </w:rPr>
      </w:pPr>
    </w:p>
    <w:bookmarkEnd w:id="19"/>
    <w:p w14:paraId="76560193" w14:textId="77777777" w:rsidR="00BA70B1" w:rsidRDefault="00BA70B1" w:rsidP="001454AC">
      <w:pPr>
        <w:rPr>
          <w:b/>
        </w:rPr>
      </w:pPr>
      <w:r w:rsidRPr="001454AC">
        <w:br w:type="page"/>
      </w:r>
      <w:bookmarkStart w:id="20" w:name="_Hlk5186527"/>
      <w:bookmarkEnd w:id="18"/>
      <w:r>
        <w:rPr>
          <w:b/>
        </w:rPr>
        <w:lastRenderedPageBreak/>
        <w:t>SCHEDULE 1</w:t>
      </w:r>
    </w:p>
    <w:p w14:paraId="5C87547E" w14:textId="77777777" w:rsidR="00BA70B1" w:rsidRDefault="00BA70B1" w:rsidP="00BA70B1">
      <w:pPr>
        <w:pStyle w:val="StandardL2"/>
        <w:numPr>
          <w:ilvl w:val="0"/>
          <w:numId w:val="0"/>
        </w:numPr>
        <w:tabs>
          <w:tab w:val="left" w:pos="720"/>
        </w:tabs>
        <w:spacing w:line="240" w:lineRule="auto"/>
        <w:jc w:val="center"/>
        <w:rPr>
          <w:b/>
        </w:rPr>
      </w:pPr>
      <w:r>
        <w:rPr>
          <w:b/>
        </w:rPr>
        <w:t>Financial Instruments</w:t>
      </w:r>
    </w:p>
    <w:p w14:paraId="4EC15BC9" w14:textId="77777777" w:rsidR="00BA70B1" w:rsidRDefault="00BA70B1" w:rsidP="00BA70B1">
      <w:pPr>
        <w:pStyle w:val="StandardL2"/>
        <w:numPr>
          <w:ilvl w:val="0"/>
          <w:numId w:val="0"/>
        </w:numPr>
        <w:tabs>
          <w:tab w:val="left" w:pos="720"/>
        </w:tabs>
        <w:spacing w:line="240" w:lineRule="auto"/>
        <w:jc w:val="center"/>
        <w:rPr>
          <w:b/>
        </w:rPr>
      </w:pPr>
      <w:r>
        <w:rPr>
          <w:b/>
        </w:rPr>
        <w:t>[</w:t>
      </w:r>
      <w:r>
        <w:rPr>
          <w:b/>
          <w:highlight w:val="yellow"/>
        </w:rPr>
        <w:t>Financial Instruments to be listed below</w:t>
      </w:r>
      <w:r>
        <w:rPr>
          <w:b/>
        </w:rPr>
        <w:t>]</w:t>
      </w:r>
      <w:bookmarkEnd w:id="20"/>
    </w:p>
    <w:p w14:paraId="6AEB0B14" w14:textId="77777777" w:rsidR="00BA70B1" w:rsidRPr="001454AC" w:rsidRDefault="00BA70B1" w:rsidP="001454AC"/>
    <w:tbl>
      <w:tblPr>
        <w:tblW w:w="10348" w:type="dxa"/>
        <w:tblInd w:w="132" w:type="dxa"/>
        <w:tblCellMar>
          <w:left w:w="0" w:type="dxa"/>
          <w:right w:w="0" w:type="dxa"/>
        </w:tblCellMar>
        <w:tblLook w:val="04A0" w:firstRow="1" w:lastRow="0" w:firstColumn="1" w:lastColumn="0" w:noHBand="0" w:noVBand="1"/>
      </w:tblPr>
      <w:tblGrid>
        <w:gridCol w:w="5103"/>
        <w:gridCol w:w="5245"/>
      </w:tblGrid>
      <w:tr w:rsidR="00BA70B1" w14:paraId="63109B7C" w14:textId="77777777" w:rsidTr="00BA70B1">
        <w:tc>
          <w:tcPr>
            <w:tcW w:w="51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614EF08" w14:textId="77777777" w:rsidR="00BA70B1" w:rsidRDefault="00BA70B1">
            <w:pPr>
              <w:rPr>
                <w:sz w:val="22"/>
                <w:szCs w:val="22"/>
                <w:highlight w:val="yellow"/>
              </w:rPr>
            </w:pPr>
            <w:r>
              <w:rPr>
                <w:highlight w:val="yellow"/>
              </w:rPr>
              <w:t>Matching Credit Code where Market Making activity will be submitted by API’s</w:t>
            </w:r>
          </w:p>
        </w:tc>
        <w:tc>
          <w:tcPr>
            <w:tcW w:w="52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22EDFA" w14:textId="77777777" w:rsidR="00BA70B1" w:rsidRDefault="00BA70B1">
            <w:pPr>
              <w:rPr>
                <w:highlight w:val="yellow"/>
              </w:rPr>
            </w:pPr>
            <w:r>
              <w:rPr>
                <w:highlight w:val="yellow"/>
              </w:rPr>
              <w:t>Financial Instrument for Market Making activity adherence as defined in this document</w:t>
            </w:r>
          </w:p>
        </w:tc>
      </w:tr>
      <w:tr w:rsidR="00BA70B1" w14:paraId="2B92AABE" w14:textId="77777777" w:rsidTr="00BA70B1">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29D411" w14:textId="77777777" w:rsidR="00BA70B1" w:rsidRDefault="00BA70B1">
            <w:pPr>
              <w:rPr>
                <w:i/>
                <w:iCs/>
                <w:highlight w:val="yellow"/>
              </w:rPr>
            </w:pPr>
            <w:r>
              <w:rPr>
                <w:i/>
                <w:iCs/>
                <w:highlight w:val="yellow"/>
              </w:rPr>
              <w:t>Example: AZBY</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14:paraId="52B958DB" w14:textId="77777777" w:rsidR="00BA70B1" w:rsidRDefault="00BA70B1">
            <w:pPr>
              <w:rPr>
                <w:i/>
                <w:iCs/>
                <w:highlight w:val="yellow"/>
              </w:rPr>
            </w:pPr>
            <w:r>
              <w:rPr>
                <w:i/>
                <w:iCs/>
                <w:highlight w:val="yellow"/>
              </w:rPr>
              <w:t>Example: EUR/USD TN</w:t>
            </w:r>
          </w:p>
        </w:tc>
      </w:tr>
      <w:tr w:rsidR="00BA70B1" w14:paraId="77FAD076" w14:textId="77777777" w:rsidTr="00BA70B1">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4AD050E" w14:textId="77777777" w:rsidR="00BA70B1" w:rsidRDefault="00BA70B1">
            <w:pPr>
              <w:rPr>
                <w:highlight w:val="yellow"/>
              </w:rPr>
            </w:pPr>
          </w:p>
        </w:tc>
        <w:tc>
          <w:tcPr>
            <w:tcW w:w="5245" w:type="dxa"/>
            <w:tcBorders>
              <w:top w:val="nil"/>
              <w:left w:val="nil"/>
              <w:bottom w:val="single" w:sz="8" w:space="0" w:color="auto"/>
              <w:right w:val="single" w:sz="8" w:space="0" w:color="auto"/>
            </w:tcBorders>
            <w:tcMar>
              <w:top w:w="0" w:type="dxa"/>
              <w:left w:w="108" w:type="dxa"/>
              <w:bottom w:w="0" w:type="dxa"/>
              <w:right w:w="108" w:type="dxa"/>
            </w:tcMar>
          </w:tcPr>
          <w:p w14:paraId="6CA7AF3E" w14:textId="77777777" w:rsidR="00BA70B1" w:rsidRDefault="00BA70B1">
            <w:pPr>
              <w:rPr>
                <w:highlight w:val="yellow"/>
              </w:rPr>
            </w:pPr>
          </w:p>
        </w:tc>
      </w:tr>
    </w:tbl>
    <w:p w14:paraId="6C1C3148" w14:textId="77777777" w:rsidR="00BA70B1" w:rsidRPr="001454AC" w:rsidRDefault="00BA70B1" w:rsidP="001454AC">
      <w:pPr>
        <w:rPr>
          <w:lang w:val="en-GB" w:eastAsia="en-CA"/>
        </w:rPr>
      </w:pPr>
    </w:p>
    <w:p w14:paraId="109B7F16" w14:textId="77777777" w:rsidR="00BA70B1" w:rsidRDefault="00BA70B1" w:rsidP="00BA70B1">
      <w:pPr>
        <w:rPr>
          <w:lang w:val="en-GB" w:eastAsia="en-GB"/>
        </w:rPr>
      </w:pPr>
    </w:p>
    <w:p w14:paraId="5D36EA51" w14:textId="77777777" w:rsidR="00083493" w:rsidRPr="00BA70B1" w:rsidRDefault="00083493" w:rsidP="00BA70B1"/>
    <w:sectPr w:rsidR="00083493" w:rsidRPr="00BA70B1" w:rsidSect="00E43398">
      <w:headerReference w:type="even" r:id="rId8"/>
      <w:headerReference w:type="default" r:id="rId9"/>
      <w:footerReference w:type="even" r:id="rId10"/>
      <w:footerReference w:type="default" r:id="rId11"/>
      <w:headerReference w:type="first" r:id="rId12"/>
      <w:footerReference w:type="first" r:id="rId13"/>
      <w:pgSz w:w="11906" w:h="16838" w:code="9"/>
      <w:pgMar w:top="1701" w:right="1191" w:bottom="1440" w:left="1191" w:header="68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B1B09" w14:textId="77777777" w:rsidR="00BA70B1" w:rsidRDefault="00BA70B1" w:rsidP="00E74FE2">
      <w:pPr>
        <w:spacing w:after="0"/>
      </w:pPr>
      <w:r>
        <w:separator/>
      </w:r>
    </w:p>
  </w:endnote>
  <w:endnote w:type="continuationSeparator" w:id="0">
    <w:p w14:paraId="0E9F9783" w14:textId="77777777" w:rsidR="00BA70B1" w:rsidRDefault="00BA70B1" w:rsidP="00E74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unga">
    <w:panose1 w:val="00000400000000000000"/>
    <w:charset w:val="00"/>
    <w:family w:val="swiss"/>
    <w:pitch w:val="variable"/>
    <w:sig w:usb0="004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Arial Bold">
    <w:altName w:val="Arial"/>
    <w:panose1 w:val="020B0704020202020204"/>
    <w:charset w:val="00"/>
    <w:family w:val="auto"/>
    <w:pitch w:val="variable"/>
    <w:sig w:usb0="E0002AFF" w:usb1="C0007843" w:usb2="00000009" w:usb3="00000000" w:csb0="000001FF" w:csb1="00000000"/>
  </w:font>
  <w:font w:name="Times New Roman (Headings CS)">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Times New Roman (Body CS)">
    <w:altName w:val="Times New Roman"/>
    <w:charset w:val="00"/>
    <w:family w:val="roman"/>
    <w:pitch w:val="variable"/>
    <w:sig w:usb0="00000000" w:usb1="C0007841"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4A9D2" w14:textId="77777777" w:rsidR="00EB7C72" w:rsidRDefault="00EB7C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76FD8" w14:textId="77777777" w:rsidR="00E82FD2" w:rsidRPr="00E82FD2" w:rsidRDefault="00E82FD2" w:rsidP="00E82FD2">
    <w:pPr>
      <w:pStyle w:val="Footer"/>
      <w:ind w:right="360"/>
      <w:jc w:val="right"/>
      <w:rPr>
        <w:color w:val="001DFF" w:themeColor="text2"/>
        <w:sz w:val="17"/>
      </w:rPr>
    </w:pPr>
    <w:r w:rsidRPr="00C32368">
      <w:rPr>
        <w:noProof/>
      </w:rPr>
      <w:drawing>
        <wp:anchor distT="0" distB="0" distL="114300" distR="114300" simplePos="0" relativeHeight="251669504" behindDoc="1" locked="0" layoutInCell="1" allowOverlap="1" wp14:anchorId="1A0078B1" wp14:editId="1F22D9A5">
          <wp:simplePos x="0" y="0"/>
          <wp:positionH relativeFrom="column">
            <wp:posOffset>-216640</wp:posOffset>
          </wp:positionH>
          <wp:positionV relativeFrom="page">
            <wp:posOffset>9709150</wp:posOffset>
          </wp:positionV>
          <wp:extent cx="2790190" cy="982980"/>
          <wp:effectExtent l="0" t="0" r="0" b="0"/>
          <wp:wrapNone/>
          <wp:docPr id="906171162" name="Graphic 906171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2790190" cy="982980"/>
                  </a:xfrm>
                  <a:prstGeom prst="rect">
                    <a:avLst/>
                  </a:prstGeom>
                </pic:spPr>
              </pic:pic>
            </a:graphicData>
          </a:graphic>
          <wp14:sizeRelH relativeFrom="margin">
            <wp14:pctWidth>0</wp14:pctWidth>
          </wp14:sizeRelH>
          <wp14:sizeRelV relativeFrom="margin">
            <wp14:pctHeight>0</wp14:pctHeight>
          </wp14:sizeRelV>
        </wp:anchor>
      </w:drawing>
    </w:r>
    <w:sdt>
      <w:sdtPr>
        <w:rPr>
          <w:rStyle w:val="PageNumber"/>
        </w:rPr>
        <w:id w:val="1597135626"/>
        <w:docPartObj>
          <w:docPartGallery w:val="Page Numbers (Bottom of Page)"/>
          <w:docPartUnique/>
        </w:docPartObj>
      </w:sdtPr>
      <w:sdtEndPr>
        <w:rPr>
          <w:rStyle w:val="PageNumber"/>
        </w:rPr>
      </w:sdtEndPr>
      <w:sdtContent>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E9BFF" w14:textId="242F0953" w:rsidR="006D6736" w:rsidRPr="006D6736" w:rsidRDefault="00FD5FBE" w:rsidP="00FD5FBE">
    <w:pPr>
      <w:pStyle w:val="Footer"/>
      <w:spacing w:before="480"/>
      <w:ind w:left="6096"/>
      <w:jc w:val="right"/>
      <w:rPr>
        <w:sz w:val="17"/>
        <w:szCs w:val="17"/>
      </w:rPr>
    </w:pPr>
    <w:r w:rsidRPr="006D6736">
      <w:rPr>
        <w:noProof/>
        <w:sz w:val="17"/>
        <w:szCs w:val="17"/>
      </w:rPr>
      <w:drawing>
        <wp:anchor distT="0" distB="0" distL="114300" distR="114300" simplePos="0" relativeHeight="251663360" behindDoc="1" locked="0" layoutInCell="1" allowOverlap="1" wp14:anchorId="3275B8A8" wp14:editId="6939DB59">
          <wp:simplePos x="0" y="0"/>
          <wp:positionH relativeFrom="column">
            <wp:posOffset>-205210</wp:posOffset>
          </wp:positionH>
          <wp:positionV relativeFrom="page">
            <wp:posOffset>9709150</wp:posOffset>
          </wp:positionV>
          <wp:extent cx="2790190" cy="982980"/>
          <wp:effectExtent l="0" t="0" r="0" b="0"/>
          <wp:wrapNone/>
          <wp:docPr id="906171164" name="Graphic 906171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2790190" cy="982980"/>
                  </a:xfrm>
                  <a:prstGeom prst="rect">
                    <a:avLst/>
                  </a:prstGeom>
                </pic:spPr>
              </pic:pic>
            </a:graphicData>
          </a:graphic>
          <wp14:sizeRelH relativeFrom="margin">
            <wp14:pctWidth>0</wp14:pctWidth>
          </wp14:sizeRelH>
          <wp14:sizeRelV relativeFrom="margin">
            <wp14:pctHeight>0</wp14:pctHeight>
          </wp14:sizeRelV>
        </wp:anchor>
      </w:drawing>
    </w:r>
    <w:r w:rsidR="006D6736" w:rsidRPr="006D6736">
      <w:rPr>
        <w:sz w:val="17"/>
        <w:szCs w:val="17"/>
      </w:rPr>
      <w:t xml:space="preserve">Document version </w:t>
    </w:r>
    <w:r w:rsidR="00EB7C72">
      <w:rPr>
        <w:sz w:val="17"/>
        <w:szCs w:val="17"/>
      </w:rPr>
      <w:t>2.0</w:t>
    </w:r>
  </w:p>
  <w:p w14:paraId="2EB35E47" w14:textId="45FDCACD" w:rsidR="00051DA5" w:rsidRPr="004709E3" w:rsidRDefault="006D6736" w:rsidP="00051DA5">
    <w:pPr>
      <w:pStyle w:val="Footer"/>
      <w:ind w:left="6096"/>
      <w:jc w:val="right"/>
      <w:rPr>
        <w:sz w:val="17"/>
        <w:szCs w:val="17"/>
      </w:rPr>
    </w:pPr>
    <w:r w:rsidRPr="006D6736">
      <w:rPr>
        <w:sz w:val="17"/>
        <w:szCs w:val="17"/>
      </w:rPr>
      <w:t xml:space="preserve">Date of issue: </w:t>
    </w:r>
    <w:r w:rsidR="004709E3" w:rsidRPr="004709E3">
      <w:rPr>
        <w:sz w:val="17"/>
        <w:szCs w:val="17"/>
      </w:rPr>
      <w:fldChar w:fldCharType="begin"/>
    </w:r>
    <w:r w:rsidR="004709E3" w:rsidRPr="004709E3">
      <w:rPr>
        <w:sz w:val="17"/>
        <w:szCs w:val="17"/>
      </w:rPr>
      <w:instrText xml:space="preserve"> savedate \@ "d MMMM yyyy"</w:instrText>
    </w:r>
    <w:r w:rsidR="004709E3" w:rsidRPr="004709E3">
      <w:rPr>
        <w:sz w:val="17"/>
        <w:szCs w:val="17"/>
      </w:rPr>
      <w:fldChar w:fldCharType="separate"/>
    </w:r>
    <w:r w:rsidR="00EF305E">
      <w:rPr>
        <w:noProof/>
        <w:sz w:val="17"/>
        <w:szCs w:val="17"/>
      </w:rPr>
      <w:t>10 November 2023</w:t>
    </w:r>
    <w:r w:rsidR="004709E3" w:rsidRPr="004709E3">
      <w:rPr>
        <w:sz w:val="17"/>
        <w:szCs w:val="17"/>
      </w:rPr>
      <w:fldChar w:fldCharType="end"/>
    </w:r>
  </w:p>
  <w:p w14:paraId="32349F10" w14:textId="77777777" w:rsidR="006D6736" w:rsidRPr="006D6736" w:rsidRDefault="007D7DA8" w:rsidP="006D6736">
    <w:pPr>
      <w:pStyle w:val="Footer"/>
      <w:ind w:left="6096"/>
      <w:jc w:val="right"/>
      <w:rPr>
        <w:sz w:val="17"/>
        <w:szCs w:val="17"/>
      </w:rPr>
    </w:pPr>
    <w:r w:rsidRPr="00702434">
      <w:rPr>
        <w:noProof/>
        <w:color w:val="FF0000"/>
      </w:rPr>
      <mc:AlternateContent>
        <mc:Choice Requires="wps">
          <w:drawing>
            <wp:anchor distT="0" distB="0" distL="114300" distR="114300" simplePos="0" relativeHeight="251665408" behindDoc="0" locked="0" layoutInCell="1" allowOverlap="1" wp14:anchorId="6BA0C8C2" wp14:editId="1242BC1B">
              <wp:simplePos x="0" y="0"/>
              <wp:positionH relativeFrom="page">
                <wp:align>left</wp:align>
              </wp:positionH>
              <wp:positionV relativeFrom="paragraph">
                <wp:posOffset>939165</wp:posOffset>
              </wp:positionV>
              <wp:extent cx="485775" cy="180975"/>
              <wp:effectExtent l="0" t="0" r="9525" b="9525"/>
              <wp:wrapNone/>
              <wp:docPr id="1" name="Rectangle 1"/>
              <wp:cNvGraphicFramePr/>
              <a:graphic xmlns:a="http://schemas.openxmlformats.org/drawingml/2006/main">
                <a:graphicData uri="http://schemas.microsoft.com/office/word/2010/wordprocessingShape">
                  <wps:wsp>
                    <wps:cNvSpPr/>
                    <wps:spPr>
                      <a:xfrm>
                        <a:off x="0" y="0"/>
                        <a:ext cx="485775" cy="18097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FEDD94" id="Rectangle 1" o:spid="_x0000_s1026" style="position:absolute;margin-left:0;margin-top:73.95pt;width:38.25pt;height:14.25pt;z-index:251665408;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" fillcolor="#00cfd3 [3205]" stroked="f" strokeweight="1pt">
              <w10:wrap anchorx="page"/>
            </v:rect>
          </w:pict>
        </mc:Fallback>
      </mc:AlternateContent>
    </w:r>
    <w:r w:rsidR="006D6736" w:rsidRPr="006D6736">
      <w:rPr>
        <w:sz w:val="17"/>
        <w:szCs w:val="17"/>
      </w:rPr>
      <w:sym w:font="Symbol" w:char="F0D3"/>
    </w:r>
    <w:r w:rsidR="006D6736" w:rsidRPr="006D6736">
      <w:rPr>
        <w:sz w:val="17"/>
        <w:szCs w:val="17"/>
      </w:rPr>
      <w:t xml:space="preserve"> 2023 LSEG.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2E5A1" w14:textId="77777777" w:rsidR="00BA70B1" w:rsidRDefault="00BA70B1" w:rsidP="00E74FE2">
      <w:pPr>
        <w:spacing w:after="0"/>
      </w:pPr>
      <w:r>
        <w:separator/>
      </w:r>
    </w:p>
  </w:footnote>
  <w:footnote w:type="continuationSeparator" w:id="0">
    <w:p w14:paraId="3DF5B799" w14:textId="77777777" w:rsidR="00BA70B1" w:rsidRDefault="00BA70B1" w:rsidP="00E74FE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08FA3" w14:textId="77777777" w:rsidR="00EB7C72" w:rsidRDefault="00EB7C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A4758" w14:textId="2B915C41" w:rsidR="00F92E4E" w:rsidRPr="00A00329" w:rsidRDefault="00BA70B1" w:rsidP="00F92E4E">
    <w:pPr>
      <w:pStyle w:val="Header"/>
      <w:ind w:right="360"/>
    </w:pPr>
    <w:r w:rsidRPr="00BA70B1">
      <w:t>Market Maker Addendum</w:t>
    </w:r>
    <w:r w:rsidR="00F92E4E">
      <w:rPr>
        <w:noProof/>
      </w:rPr>
      <mc:AlternateContent>
        <mc:Choice Requires="wps">
          <w:drawing>
            <wp:anchor distT="0" distB="0" distL="114300" distR="114300" simplePos="0" relativeHeight="251671552" behindDoc="1" locked="0" layoutInCell="1" allowOverlap="1" wp14:anchorId="1E61E166" wp14:editId="2C10C273">
              <wp:simplePos x="0" y="0"/>
              <wp:positionH relativeFrom="page">
                <wp:posOffset>744855</wp:posOffset>
              </wp:positionH>
              <wp:positionV relativeFrom="page">
                <wp:posOffset>683895</wp:posOffset>
              </wp:positionV>
              <wp:extent cx="6051600" cy="0"/>
              <wp:effectExtent l="0" t="12700" r="19050" b="12700"/>
              <wp:wrapNone/>
              <wp:docPr id="11" name="Straight Connector 11"/>
              <wp:cNvGraphicFramePr/>
              <a:graphic xmlns:a="http://schemas.openxmlformats.org/drawingml/2006/main">
                <a:graphicData uri="http://schemas.microsoft.com/office/word/2010/wordprocessingShape">
                  <wps:wsp>
                    <wps:cNvCnPr/>
                    <wps:spPr>
                      <a:xfrm>
                        <a:off x="0" y="0"/>
                        <a:ext cx="6051600" cy="0"/>
                      </a:xfrm>
                      <a:prstGeom prst="line">
                        <a:avLst/>
                      </a:prstGeom>
                      <a:ln w="19050">
                        <a:gradFill>
                          <a:gsLst>
                            <a:gs pos="0">
                              <a:schemeClr val="tx2"/>
                            </a:gs>
                            <a:gs pos="100000">
                              <a:schemeClr val="accent3"/>
                            </a:gs>
                          </a:gsLst>
                          <a:lin ang="0" scaled="0"/>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4E3CB12" id="Straight Connector 11" o:spid="_x0000_s1026" style="position:absolute;z-index:-2516449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8.65pt,53.85pt" to="535.15pt,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" strokeweight="1.5pt">
              <v:stroke joinstyle="miter"/>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588DB" w14:textId="77777777" w:rsidR="00E74FE2" w:rsidRDefault="00083493" w:rsidP="00083493">
    <w:pPr>
      <w:pStyle w:val="Header"/>
      <w:spacing w:before="2760" w:after="560"/>
    </w:pPr>
    <w:r>
      <w:rPr>
        <w:noProof/>
      </w:rPr>
      <mc:AlternateContent>
        <mc:Choice Requires="wps">
          <w:drawing>
            <wp:anchor distT="0" distB="0" distL="114300" distR="114300" simplePos="0" relativeHeight="251655680" behindDoc="0" locked="0" layoutInCell="1" allowOverlap="1" wp14:anchorId="17046363" wp14:editId="1E659BA4">
              <wp:simplePos x="0" y="0"/>
              <wp:positionH relativeFrom="margin">
                <wp:posOffset>-32385</wp:posOffset>
              </wp:positionH>
              <wp:positionV relativeFrom="page">
                <wp:posOffset>581026</wp:posOffset>
              </wp:positionV>
              <wp:extent cx="6524625" cy="1257300"/>
              <wp:effectExtent l="0" t="0" r="9525" b="0"/>
              <wp:wrapNone/>
              <wp:docPr id="6" name="Text Box 6"/>
              <wp:cNvGraphicFramePr/>
              <a:graphic xmlns:a="http://schemas.openxmlformats.org/drawingml/2006/main">
                <a:graphicData uri="http://schemas.microsoft.com/office/word/2010/wordprocessingShape">
                  <wps:wsp>
                    <wps:cNvSpPr txBox="1"/>
                    <wps:spPr>
                      <a:xfrm>
                        <a:off x="0" y="0"/>
                        <a:ext cx="6524625" cy="1257300"/>
                      </a:xfrm>
                      <a:prstGeom prst="rect">
                        <a:avLst/>
                      </a:prstGeom>
                      <a:noFill/>
                      <a:ln w="6350">
                        <a:noFill/>
                      </a:ln>
                    </wps:spPr>
                    <wps:txbx>
                      <w:txbxContent>
                        <w:p w14:paraId="25371494" w14:textId="01CDDA87" w:rsidR="00D01465" w:rsidRPr="00FD5FBE" w:rsidRDefault="00D01465" w:rsidP="00FD5FBE">
                          <w:pPr>
                            <w:pStyle w:val="Title"/>
                            <w:spacing w:after="120"/>
                            <w:rPr>
                              <w:color w:val="0000FF"/>
                              <w:sz w:val="72"/>
                              <w:szCs w:val="72"/>
                            </w:rPr>
                          </w:pPr>
                          <w:r w:rsidRPr="00FD5FBE">
                            <w:rPr>
                              <w:color w:val="0000FF"/>
                              <w:sz w:val="72"/>
                              <w:szCs w:val="72"/>
                            </w:rPr>
                            <w:t xml:space="preserve">LSEG FX </w:t>
                          </w:r>
                          <w:r w:rsidR="00BA70B1">
                            <w:rPr>
                              <w:color w:val="0000FF"/>
                              <w:sz w:val="72"/>
                              <w:szCs w:val="72"/>
                            </w:rPr>
                            <w:t>EU MTF</w:t>
                          </w:r>
                        </w:p>
                        <w:p w14:paraId="4D1D3128" w14:textId="6DDC1D60" w:rsidR="00BB57F5" w:rsidRDefault="00BA70B1">
                          <w:r w:rsidRPr="00BA70B1">
                            <w:rPr>
                              <w:rFonts w:asciiTheme="minorHAnsi" w:eastAsiaTheme="minorHAnsi" w:hAnsiTheme="minorHAnsi"/>
                              <w:sz w:val="40"/>
                              <w:szCs w:val="36"/>
                            </w:rPr>
                            <w:t>Market Maker Addendum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046363" id="_x0000_t202" coordsize="21600,21600" o:spt="202" path="m,l,21600r21600,l21600,xe">
              <v:stroke joinstyle="miter"/>
              <v:path gradientshapeok="t" o:connecttype="rect"/>
            </v:shapetype>
            <v:shape id="Text Box 6" o:spid="_x0000_s1026" type="#_x0000_t202" style="position:absolute;margin-left:-2.55pt;margin-top:45.75pt;width:513.75pt;height:99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" filled="f" stroked="f" strokeweight=".5pt">
              <v:textbox inset="0,0,0,0">
                <w:txbxContent>
                  <w:p w14:paraId="25371494" w14:textId="01CDDA87" w:rsidR="00D01465" w:rsidRPr="00FD5FBE" w:rsidRDefault="00D01465" w:rsidP="00FD5FBE">
                    <w:pPr>
                      <w:pStyle w:val="Title"/>
                      <w:spacing w:after="120"/>
                      <w:rPr>
                        <w:color w:val="0000FF"/>
                        <w:sz w:val="72"/>
                        <w:szCs w:val="72"/>
                      </w:rPr>
                    </w:pPr>
                    <w:r w:rsidRPr="00FD5FBE">
                      <w:rPr>
                        <w:color w:val="0000FF"/>
                        <w:sz w:val="72"/>
                        <w:szCs w:val="72"/>
                      </w:rPr>
                      <w:t xml:space="preserve">LSEG FX </w:t>
                    </w:r>
                    <w:r w:rsidR="00BA70B1">
                      <w:rPr>
                        <w:color w:val="0000FF"/>
                        <w:sz w:val="72"/>
                        <w:szCs w:val="72"/>
                      </w:rPr>
                      <w:t>EU MTF</w:t>
                    </w:r>
                  </w:p>
                  <w:p w14:paraId="4D1D3128" w14:textId="6DDC1D60" w:rsidR="00BB57F5" w:rsidRDefault="00BA70B1">
                    <w:r w:rsidRPr="00BA70B1">
                      <w:rPr>
                        <w:rFonts w:asciiTheme="minorHAnsi" w:eastAsiaTheme="minorHAnsi" w:hAnsiTheme="minorHAnsi"/>
                        <w:sz w:val="40"/>
                        <w:szCs w:val="36"/>
                      </w:rPr>
                      <w:t>Market Maker Addendum</w:t>
                    </w:r>
                  </w:p>
                </w:txbxContent>
              </v:textbox>
              <w10:wrap anchorx="margin" anchory="page"/>
            </v:shape>
          </w:pict>
        </mc:Fallback>
      </mc:AlternateContent>
    </w:r>
    <w:r w:rsidR="00E456E3">
      <w:rPr>
        <w:noProof/>
      </w:rPr>
      <w:drawing>
        <wp:anchor distT="0" distB="0" distL="114300" distR="114300" simplePos="0" relativeHeight="251652608" behindDoc="1" locked="0" layoutInCell="1" allowOverlap="1" wp14:anchorId="3B10B1C7" wp14:editId="0A80F8E9">
          <wp:simplePos x="0" y="0"/>
          <wp:positionH relativeFrom="page">
            <wp:posOffset>5667375</wp:posOffset>
          </wp:positionH>
          <wp:positionV relativeFrom="page">
            <wp:posOffset>142875</wp:posOffset>
          </wp:positionV>
          <wp:extent cx="1873885" cy="2159635"/>
          <wp:effectExtent l="0" t="0" r="0" b="0"/>
          <wp:wrapNone/>
          <wp:docPr id="906171163" name="Picture 906171163" descr="A blue x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780352" name="Picture 1" descr="A blue x on a black background&#10;&#10;Description automatically generated"/>
                  <pic:cNvPicPr/>
                </pic:nvPicPr>
                <pic:blipFill rotWithShape="1">
                  <a:blip r:embed="rId1" cstate="screen">
                    <a:extLst>
                      <a:ext uri="{28A0092B-C50C-407E-A947-70E740481C1C}">
                        <a14:useLocalDpi xmlns:a14="http://schemas.microsoft.com/office/drawing/2010/main"/>
                      </a:ext>
                    </a:extLst>
                  </a:blip>
                  <a:srcRect/>
                  <a:stretch/>
                </pic:blipFill>
                <pic:spPr bwMode="auto">
                  <a:xfrm>
                    <a:off x="0" y="0"/>
                    <a:ext cx="1873885" cy="21596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456E3">
      <w:rPr>
        <w:noProof/>
      </w:rPr>
      <mc:AlternateContent>
        <mc:Choice Requires="wps">
          <w:drawing>
            <wp:anchor distT="0" distB="0" distL="114300" distR="114300" simplePos="0" relativeHeight="251667456" behindDoc="1" locked="0" layoutInCell="1" allowOverlap="1" wp14:anchorId="10D9BF6A" wp14:editId="0C9104E7">
              <wp:simplePos x="0" y="0"/>
              <wp:positionH relativeFrom="page">
                <wp:posOffset>737870</wp:posOffset>
              </wp:positionH>
              <wp:positionV relativeFrom="page">
                <wp:posOffset>2301875</wp:posOffset>
              </wp:positionV>
              <wp:extent cx="5910580" cy="0"/>
              <wp:effectExtent l="0" t="0" r="0" b="0"/>
              <wp:wrapNone/>
              <wp:docPr id="338377065" name="Straight Connector 338377065"/>
              <wp:cNvGraphicFramePr/>
              <a:graphic xmlns:a="http://schemas.openxmlformats.org/drawingml/2006/main">
                <a:graphicData uri="http://schemas.microsoft.com/office/word/2010/wordprocessingShape">
                  <wps:wsp>
                    <wps:cNvCnPr/>
                    <wps:spPr>
                      <a:xfrm>
                        <a:off x="0" y="0"/>
                        <a:ext cx="5910580" cy="0"/>
                      </a:xfrm>
                      <a:prstGeom prst="line">
                        <a:avLst/>
                      </a:prstGeom>
                      <a:ln w="1905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D8E637A" id="Straight Connector 338377065" o:spid="_x0000_s1026" style="position:absolute;z-index:-25164902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8.1pt,181.25pt" to="523.5pt,18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" strokecolor="#001dff [3215]" strokeweight="1.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4684F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08EB0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14600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206F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F3670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BB637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C06D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94C43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E5E178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218B7C4"/>
    <w:lvl w:ilvl="0">
      <w:start w:val="1"/>
      <w:numFmt w:val="bullet"/>
      <w:pStyle w:val="ListBullet"/>
      <w:lvlText w:val="–"/>
      <w:lvlJc w:val="left"/>
      <w:pPr>
        <w:tabs>
          <w:tab w:val="num" w:pos="284"/>
        </w:tabs>
        <w:ind w:left="284" w:hanging="284"/>
      </w:pPr>
      <w:rPr>
        <w:rFonts w:ascii="Arial" w:hAnsi="Arial" w:hint="default"/>
      </w:rPr>
    </w:lvl>
  </w:abstractNum>
  <w:abstractNum w:abstractNumId="10" w15:restartNumberingAfterBreak="0">
    <w:nsid w:val="107172F7"/>
    <w:multiLevelType w:val="hybridMultilevel"/>
    <w:tmpl w:val="329E2C7E"/>
    <w:lvl w:ilvl="0" w:tplc="2D9C0D5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7733B37"/>
    <w:multiLevelType w:val="hybridMultilevel"/>
    <w:tmpl w:val="C610E674"/>
    <w:lvl w:ilvl="0" w:tplc="3F8EAE1C">
      <w:start w:val="1"/>
      <w:numFmt w:val="lowerLetter"/>
      <w:pStyle w:val="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7A7AFE"/>
    <w:multiLevelType w:val="hybridMultilevel"/>
    <w:tmpl w:val="C5001E36"/>
    <w:lvl w:ilvl="0" w:tplc="61D6B312">
      <w:start w:val="1"/>
      <w:numFmt w:val="bullet"/>
      <w:pStyle w:val="Tabletext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08213B"/>
    <w:multiLevelType w:val="multilevel"/>
    <w:tmpl w:val="B4BE4AB8"/>
    <w:lvl w:ilvl="0">
      <w:start w:val="1"/>
      <w:numFmt w:val="decimal"/>
      <w:pStyle w:val="Heading2"/>
      <w:lvlText w:val="%1."/>
      <w:lvlJc w:val="left"/>
      <w:pPr>
        <w:ind w:left="360" w:hanging="360"/>
      </w:pPr>
      <w:rPr>
        <w:rFonts w:hint="default"/>
      </w:rPr>
    </w:lvl>
    <w:lvl w:ilvl="1">
      <w:start w:val="1"/>
      <w:numFmt w:val="decimal"/>
      <w:pStyle w:val="Heading4"/>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2FB0491"/>
    <w:multiLevelType w:val="hybridMultilevel"/>
    <w:tmpl w:val="584E4090"/>
    <w:lvl w:ilvl="0" w:tplc="27F2E418">
      <w:start w:val="1"/>
      <w:numFmt w:val="bullet"/>
      <w:lvlText w:val=""/>
      <w:lvlJc w:val="left"/>
      <w:pPr>
        <w:ind w:left="1440" w:hanging="360"/>
      </w:pPr>
      <w:rPr>
        <w:rFonts w:ascii="Symbol" w:hAnsi="Symbol" w:hint="default"/>
        <w:caps/>
        <w:color w:val="auto"/>
        <w:sz w:val="18"/>
      </w:rPr>
    </w:lvl>
    <w:lvl w:ilvl="1" w:tplc="33D2542A">
      <w:start w:val="1"/>
      <w:numFmt w:val="bullet"/>
      <w:lvlText w:val="o"/>
      <w:lvlJc w:val="left"/>
      <w:pPr>
        <w:ind w:left="2160" w:hanging="360"/>
      </w:pPr>
      <w:rPr>
        <w:rFonts w:ascii="Courier New" w:hAnsi="Courier New" w:cs="Courier New" w:hint="default"/>
      </w:rPr>
    </w:lvl>
    <w:lvl w:ilvl="2" w:tplc="7E2842A2">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8553BDE"/>
    <w:multiLevelType w:val="multilevel"/>
    <w:tmpl w:val="BD947088"/>
    <w:lvl w:ilvl="0">
      <w:start w:val="1"/>
      <w:numFmt w:val="decimal"/>
      <w:lvlText w:val="Chapter %1"/>
      <w:lvlJc w:val="left"/>
      <w:pPr>
        <w:tabs>
          <w:tab w:val="num" w:pos="-720"/>
        </w:tabs>
        <w:ind w:left="0" w:firstLine="0"/>
      </w:pPr>
      <w:rPr>
        <w:rFonts w:ascii="Arial" w:hAnsi="Arial" w:hint="default"/>
        <w:b w:val="0"/>
        <w:bCs w:val="0"/>
        <w:i w:val="0"/>
        <w:caps w:val="0"/>
        <w:color w:val="auto"/>
        <w:sz w:val="48"/>
        <w:szCs w:val="48"/>
      </w:rPr>
    </w:lvl>
    <w:lvl w:ilvl="1">
      <w:start w:val="1"/>
      <w:numFmt w:val="decimal"/>
      <w:lvlText w:val="%1.%2"/>
      <w:lvlJc w:val="left"/>
      <w:pPr>
        <w:tabs>
          <w:tab w:val="num" w:pos="6815"/>
        </w:tabs>
        <w:ind w:left="6527" w:hanging="432"/>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800"/>
        </w:tabs>
        <w:ind w:left="1224" w:hanging="504"/>
      </w:pPr>
      <w:rPr>
        <w:specVanish w:val="0"/>
      </w:rPr>
    </w:lvl>
    <w:lvl w:ilvl="3">
      <w:start w:val="1"/>
      <w:numFmt w:val="decimal"/>
      <w:lvlText w:val="%1.%2.%3.%4"/>
      <w:lvlJc w:val="left"/>
      <w:pPr>
        <w:tabs>
          <w:tab w:val="num" w:pos="2520"/>
        </w:tabs>
        <w:ind w:left="1728" w:hanging="648"/>
      </w:pPr>
      <w:rPr>
        <w:b/>
        <w:bCs/>
        <w:i/>
        <w:iCs/>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3240"/>
        </w:tabs>
        <w:ind w:left="2232" w:hanging="79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4D56320E"/>
    <w:multiLevelType w:val="hybridMultilevel"/>
    <w:tmpl w:val="2EEC91D4"/>
    <w:lvl w:ilvl="0" w:tplc="04090015">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A6C263E"/>
    <w:multiLevelType w:val="hybridMultilevel"/>
    <w:tmpl w:val="7C901516"/>
    <w:lvl w:ilvl="0" w:tplc="37342D88">
      <w:start w:val="1"/>
      <w:numFmt w:val="bullet"/>
      <w:pStyle w:val="Bullet"/>
      <w:lvlText w:val=""/>
      <w:lvlJc w:val="left"/>
      <w:pPr>
        <w:ind w:left="2931" w:hanging="360"/>
      </w:pPr>
      <w:rPr>
        <w:rFonts w:ascii="Symbol" w:hAnsi="Symbol" w:hint="default"/>
        <w:color w:val="0000FF"/>
      </w:rPr>
    </w:lvl>
    <w:lvl w:ilvl="1" w:tplc="A0F698B4">
      <w:start w:val="1"/>
      <w:numFmt w:val="bullet"/>
      <w:lvlText w:val="o"/>
      <w:lvlJc w:val="left"/>
      <w:pPr>
        <w:ind w:left="3651" w:hanging="360"/>
      </w:pPr>
      <w:rPr>
        <w:rFonts w:ascii="Courier New" w:hAnsi="Courier New" w:cs="Courier New" w:hint="default"/>
      </w:rPr>
    </w:lvl>
    <w:lvl w:ilvl="2" w:tplc="08090005" w:tentative="1">
      <w:start w:val="1"/>
      <w:numFmt w:val="bullet"/>
      <w:lvlText w:val=""/>
      <w:lvlJc w:val="left"/>
      <w:pPr>
        <w:ind w:left="4371" w:hanging="360"/>
      </w:pPr>
      <w:rPr>
        <w:rFonts w:ascii="Wingdings" w:hAnsi="Wingdings" w:hint="default"/>
      </w:rPr>
    </w:lvl>
    <w:lvl w:ilvl="3" w:tplc="08090001" w:tentative="1">
      <w:start w:val="1"/>
      <w:numFmt w:val="bullet"/>
      <w:lvlText w:val=""/>
      <w:lvlJc w:val="left"/>
      <w:pPr>
        <w:ind w:left="5091" w:hanging="360"/>
      </w:pPr>
      <w:rPr>
        <w:rFonts w:ascii="Symbol" w:hAnsi="Symbol" w:hint="default"/>
      </w:rPr>
    </w:lvl>
    <w:lvl w:ilvl="4" w:tplc="08090003" w:tentative="1">
      <w:start w:val="1"/>
      <w:numFmt w:val="bullet"/>
      <w:lvlText w:val="o"/>
      <w:lvlJc w:val="left"/>
      <w:pPr>
        <w:ind w:left="5811" w:hanging="360"/>
      </w:pPr>
      <w:rPr>
        <w:rFonts w:ascii="Courier New" w:hAnsi="Courier New" w:cs="Courier New" w:hint="default"/>
      </w:rPr>
    </w:lvl>
    <w:lvl w:ilvl="5" w:tplc="08090005" w:tentative="1">
      <w:start w:val="1"/>
      <w:numFmt w:val="bullet"/>
      <w:lvlText w:val=""/>
      <w:lvlJc w:val="left"/>
      <w:pPr>
        <w:ind w:left="6531" w:hanging="360"/>
      </w:pPr>
      <w:rPr>
        <w:rFonts w:ascii="Wingdings" w:hAnsi="Wingdings" w:hint="default"/>
      </w:rPr>
    </w:lvl>
    <w:lvl w:ilvl="6" w:tplc="08090001" w:tentative="1">
      <w:start w:val="1"/>
      <w:numFmt w:val="bullet"/>
      <w:lvlText w:val=""/>
      <w:lvlJc w:val="left"/>
      <w:pPr>
        <w:ind w:left="7251" w:hanging="360"/>
      </w:pPr>
      <w:rPr>
        <w:rFonts w:ascii="Symbol" w:hAnsi="Symbol" w:hint="default"/>
      </w:rPr>
    </w:lvl>
    <w:lvl w:ilvl="7" w:tplc="08090003" w:tentative="1">
      <w:start w:val="1"/>
      <w:numFmt w:val="bullet"/>
      <w:lvlText w:val="o"/>
      <w:lvlJc w:val="left"/>
      <w:pPr>
        <w:ind w:left="7971" w:hanging="360"/>
      </w:pPr>
      <w:rPr>
        <w:rFonts w:ascii="Courier New" w:hAnsi="Courier New" w:cs="Courier New" w:hint="default"/>
      </w:rPr>
    </w:lvl>
    <w:lvl w:ilvl="8" w:tplc="08090005" w:tentative="1">
      <w:start w:val="1"/>
      <w:numFmt w:val="bullet"/>
      <w:lvlText w:val=""/>
      <w:lvlJc w:val="left"/>
      <w:pPr>
        <w:ind w:left="8691" w:hanging="360"/>
      </w:pPr>
      <w:rPr>
        <w:rFonts w:ascii="Wingdings" w:hAnsi="Wingdings" w:hint="default"/>
      </w:rPr>
    </w:lvl>
  </w:abstractNum>
  <w:abstractNum w:abstractNumId="18" w15:restartNumberingAfterBreak="0">
    <w:nsid w:val="5E332596"/>
    <w:multiLevelType w:val="hybridMultilevel"/>
    <w:tmpl w:val="FAA8BCCE"/>
    <w:lvl w:ilvl="0" w:tplc="BCAA6868">
      <w:start w:val="1"/>
      <w:numFmt w:val="decimal"/>
      <w:pStyle w:val="Numb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F7E219A"/>
    <w:multiLevelType w:val="multilevel"/>
    <w:tmpl w:val="D31A0B10"/>
    <w:name w:val="_Standard-415767817-F"/>
    <w:styleLink w:val="StandardList"/>
    <w:lvl w:ilvl="0">
      <w:start w:val="1"/>
      <w:numFmt w:val="decimal"/>
      <w:pStyle w:val="StandardL1"/>
      <w:lvlText w:val="%1"/>
      <w:lvlJc w:val="right"/>
      <w:pPr>
        <w:tabs>
          <w:tab w:val="num" w:pos="567"/>
        </w:tabs>
        <w:ind w:left="567" w:hanging="452"/>
      </w:pPr>
      <w:rPr>
        <w:rFonts w:ascii="Arial" w:hAnsi="Arial" w:cs="Arial"/>
        <w:b/>
        <w:sz w:val="24"/>
      </w:rPr>
    </w:lvl>
    <w:lvl w:ilvl="1">
      <w:start w:val="1"/>
      <w:numFmt w:val="decimal"/>
      <w:pStyle w:val="StandardL2"/>
      <w:lvlText w:val="%1.%2"/>
      <w:lvlJc w:val="right"/>
      <w:pPr>
        <w:tabs>
          <w:tab w:val="num" w:pos="567"/>
        </w:tabs>
        <w:ind w:left="567" w:hanging="452"/>
      </w:pPr>
      <w:rPr>
        <w:rFonts w:ascii="Arial" w:hAnsi="Arial" w:cs="Arial"/>
        <w:sz w:val="20"/>
      </w:rPr>
    </w:lvl>
    <w:lvl w:ilvl="2">
      <w:start w:val="1"/>
      <w:numFmt w:val="lowerLetter"/>
      <w:pStyle w:val="StandardL3"/>
      <w:lvlText w:val="(%3)"/>
      <w:lvlJc w:val="left"/>
      <w:pPr>
        <w:tabs>
          <w:tab w:val="num" w:pos="1134"/>
        </w:tabs>
        <w:ind w:left="1134" w:hanging="578"/>
      </w:pPr>
      <w:rPr>
        <w:rFonts w:ascii="Arial" w:hAnsi="Arial" w:cs="Arial"/>
        <w:sz w:val="20"/>
      </w:rPr>
    </w:lvl>
    <w:lvl w:ilvl="3">
      <w:start w:val="1"/>
      <w:numFmt w:val="lowerRoman"/>
      <w:pStyle w:val="StandardL4"/>
      <w:lvlText w:val="(%4)"/>
      <w:lvlJc w:val="left"/>
      <w:pPr>
        <w:tabs>
          <w:tab w:val="num" w:pos="1701"/>
        </w:tabs>
        <w:ind w:left="1701" w:hanging="567"/>
      </w:pPr>
      <w:rPr>
        <w:rFonts w:ascii="Arial" w:hAnsi="Arial" w:cs="Arial"/>
        <w:sz w:val="20"/>
      </w:rPr>
    </w:lvl>
    <w:lvl w:ilvl="4">
      <w:start w:val="1"/>
      <w:numFmt w:val="upperLetter"/>
      <w:pStyle w:val="StandardL5"/>
      <w:lvlText w:val="(%5)"/>
      <w:lvlJc w:val="left"/>
      <w:pPr>
        <w:tabs>
          <w:tab w:val="num" w:pos="2268"/>
        </w:tabs>
        <w:ind w:left="2268" w:hanging="567"/>
      </w:pPr>
      <w:rPr>
        <w:rFonts w:ascii="Arial" w:hAnsi="Arial" w:cs="Arial"/>
        <w:sz w:val="20"/>
      </w:rPr>
    </w:lvl>
    <w:lvl w:ilvl="5">
      <w:start w:val="1"/>
      <w:numFmt w:val="decimal"/>
      <w:pStyle w:val="StandardL6"/>
      <w:lvlText w:val="(%6)"/>
      <w:lvlJc w:val="left"/>
      <w:pPr>
        <w:tabs>
          <w:tab w:val="num" w:pos="2835"/>
        </w:tabs>
        <w:ind w:left="2835" w:hanging="567"/>
      </w:pPr>
      <w:rPr>
        <w:rFonts w:ascii="Arial" w:hAnsi="Arial" w:cs="Arial"/>
        <w:sz w:val="20"/>
      </w:rPr>
    </w:lvl>
    <w:lvl w:ilvl="6">
      <w:start w:val="1"/>
      <w:numFmt w:val="upperRoman"/>
      <w:pStyle w:val="StandardL7"/>
      <w:lvlText w:val="(%7)"/>
      <w:lvlJc w:val="left"/>
      <w:pPr>
        <w:tabs>
          <w:tab w:val="num" w:pos="3402"/>
        </w:tabs>
        <w:ind w:left="3402" w:hanging="567"/>
      </w:pPr>
      <w:rPr>
        <w:rFonts w:ascii="Arial" w:hAnsi="Arial" w:cs="Arial"/>
        <w:sz w:val="20"/>
      </w:rPr>
    </w:lvl>
    <w:lvl w:ilvl="7">
      <w:start w:val="1"/>
      <w:numFmt w:val="lowerLetter"/>
      <w:pStyle w:val="StandardL8"/>
      <w:lvlText w:val="%8."/>
      <w:lvlJc w:val="left"/>
      <w:pPr>
        <w:tabs>
          <w:tab w:val="num" w:pos="3969"/>
        </w:tabs>
        <w:ind w:left="3969" w:hanging="567"/>
      </w:pPr>
      <w:rPr>
        <w:rFonts w:ascii="Arial" w:hAnsi="Arial" w:cs="Arial"/>
        <w:sz w:val="20"/>
      </w:rPr>
    </w:lvl>
    <w:lvl w:ilvl="8">
      <w:start w:val="1"/>
      <w:numFmt w:val="lowerRoman"/>
      <w:pStyle w:val="StandardL9"/>
      <w:lvlText w:val="%9."/>
      <w:lvlJc w:val="left"/>
      <w:pPr>
        <w:tabs>
          <w:tab w:val="num" w:pos="4535"/>
        </w:tabs>
        <w:ind w:left="4535" w:hanging="566"/>
      </w:pPr>
      <w:rPr>
        <w:rFonts w:ascii="Arial" w:hAnsi="Arial" w:cs="Arial"/>
        <w:sz w:val="20"/>
      </w:rPr>
    </w:lvl>
  </w:abstractNum>
  <w:abstractNum w:abstractNumId="20" w15:restartNumberingAfterBreak="0">
    <w:nsid w:val="6E85368A"/>
    <w:multiLevelType w:val="hybridMultilevel"/>
    <w:tmpl w:val="71125596"/>
    <w:lvl w:ilvl="0" w:tplc="AB9045DE">
      <w:start w:val="1"/>
      <w:numFmt w:val="bullet"/>
      <w:pStyle w:val="Bullet2"/>
      <w:lvlText w:val="o"/>
      <w:lvlJc w:val="left"/>
      <w:pPr>
        <w:ind w:left="1146" w:hanging="360"/>
      </w:pPr>
      <w:rPr>
        <w:rFonts w:ascii="Courier New" w:hAnsi="Courier New" w:cs="Courier New"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7999281A"/>
    <w:multiLevelType w:val="hybridMultilevel"/>
    <w:tmpl w:val="70222720"/>
    <w:lvl w:ilvl="0" w:tplc="495CB93A">
      <w:start w:val="1"/>
      <w:numFmt w:val="lowerLetter"/>
      <w:pStyle w:val="bulletleteter"/>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22" w15:restartNumberingAfterBreak="0">
    <w:nsid w:val="7DF627CF"/>
    <w:multiLevelType w:val="hybridMultilevel"/>
    <w:tmpl w:val="4656E096"/>
    <w:lvl w:ilvl="0" w:tplc="840415E2">
      <w:start w:val="1"/>
      <w:numFmt w:val="bullet"/>
      <w:lvlText w:val=""/>
      <w:lvlJc w:val="left"/>
      <w:pPr>
        <w:tabs>
          <w:tab w:val="num" w:pos="720"/>
        </w:tabs>
        <w:ind w:left="720" w:hanging="360"/>
      </w:pPr>
      <w:rPr>
        <w:rFonts w:ascii="Symbol" w:hAnsi="Symbol"/>
      </w:rPr>
    </w:lvl>
    <w:lvl w:ilvl="1" w:tplc="76FC4248">
      <w:start w:val="1"/>
      <w:numFmt w:val="bullet"/>
      <w:lvlText w:val="o"/>
      <w:lvlJc w:val="left"/>
      <w:pPr>
        <w:tabs>
          <w:tab w:val="num" w:pos="1440"/>
        </w:tabs>
        <w:ind w:left="1440" w:hanging="360"/>
      </w:pPr>
      <w:rPr>
        <w:rFonts w:ascii="Courier New" w:hAnsi="Courier New"/>
      </w:rPr>
    </w:lvl>
    <w:lvl w:ilvl="2" w:tplc="A8264408">
      <w:start w:val="1"/>
      <w:numFmt w:val="bullet"/>
      <w:lvlText w:val=""/>
      <w:lvlJc w:val="left"/>
      <w:pPr>
        <w:tabs>
          <w:tab w:val="num" w:pos="2160"/>
        </w:tabs>
        <w:ind w:left="2160" w:hanging="360"/>
      </w:pPr>
      <w:rPr>
        <w:rFonts w:ascii="Wingdings" w:hAnsi="Wingdings"/>
      </w:rPr>
    </w:lvl>
    <w:lvl w:ilvl="3" w:tplc="412A33FC">
      <w:start w:val="1"/>
      <w:numFmt w:val="bullet"/>
      <w:lvlText w:val=""/>
      <w:lvlJc w:val="left"/>
      <w:pPr>
        <w:tabs>
          <w:tab w:val="num" w:pos="2880"/>
        </w:tabs>
        <w:ind w:left="2880" w:hanging="360"/>
      </w:pPr>
      <w:rPr>
        <w:rFonts w:ascii="Symbol" w:hAnsi="Symbol"/>
      </w:rPr>
    </w:lvl>
    <w:lvl w:ilvl="4" w:tplc="C178B63A">
      <w:start w:val="1"/>
      <w:numFmt w:val="bullet"/>
      <w:lvlText w:val="o"/>
      <w:lvlJc w:val="left"/>
      <w:pPr>
        <w:tabs>
          <w:tab w:val="num" w:pos="3600"/>
        </w:tabs>
        <w:ind w:left="3600" w:hanging="360"/>
      </w:pPr>
      <w:rPr>
        <w:rFonts w:ascii="Courier New" w:hAnsi="Courier New"/>
      </w:rPr>
    </w:lvl>
    <w:lvl w:ilvl="5" w:tplc="57B299E0">
      <w:start w:val="1"/>
      <w:numFmt w:val="bullet"/>
      <w:lvlText w:val=""/>
      <w:lvlJc w:val="left"/>
      <w:pPr>
        <w:tabs>
          <w:tab w:val="num" w:pos="4320"/>
        </w:tabs>
        <w:ind w:left="4320" w:hanging="360"/>
      </w:pPr>
      <w:rPr>
        <w:rFonts w:ascii="Wingdings" w:hAnsi="Wingdings"/>
      </w:rPr>
    </w:lvl>
    <w:lvl w:ilvl="6" w:tplc="C92C35C8">
      <w:start w:val="1"/>
      <w:numFmt w:val="bullet"/>
      <w:lvlText w:val=""/>
      <w:lvlJc w:val="left"/>
      <w:pPr>
        <w:tabs>
          <w:tab w:val="num" w:pos="5040"/>
        </w:tabs>
        <w:ind w:left="5040" w:hanging="360"/>
      </w:pPr>
      <w:rPr>
        <w:rFonts w:ascii="Symbol" w:hAnsi="Symbol"/>
      </w:rPr>
    </w:lvl>
    <w:lvl w:ilvl="7" w:tplc="95B6FDE4">
      <w:start w:val="1"/>
      <w:numFmt w:val="bullet"/>
      <w:lvlText w:val="o"/>
      <w:lvlJc w:val="left"/>
      <w:pPr>
        <w:tabs>
          <w:tab w:val="num" w:pos="5760"/>
        </w:tabs>
        <w:ind w:left="5760" w:hanging="360"/>
      </w:pPr>
      <w:rPr>
        <w:rFonts w:ascii="Courier New" w:hAnsi="Courier New"/>
      </w:rPr>
    </w:lvl>
    <w:lvl w:ilvl="8" w:tplc="A44A2346">
      <w:start w:val="1"/>
      <w:numFmt w:val="bullet"/>
      <w:lvlText w:val=""/>
      <w:lvlJc w:val="left"/>
      <w:pPr>
        <w:tabs>
          <w:tab w:val="num" w:pos="6480"/>
        </w:tabs>
        <w:ind w:left="6480" w:hanging="360"/>
      </w:pPr>
      <w:rPr>
        <w:rFonts w:ascii="Wingdings" w:hAnsi="Wingdings"/>
      </w:rPr>
    </w:lvl>
  </w:abstractNum>
  <w:num w:numId="1" w16cid:durableId="767694595">
    <w:abstractNumId w:val="12"/>
  </w:num>
  <w:num w:numId="2" w16cid:durableId="284121225">
    <w:abstractNumId w:val="14"/>
  </w:num>
  <w:num w:numId="3" w16cid:durableId="927076109">
    <w:abstractNumId w:val="8"/>
  </w:num>
  <w:num w:numId="4" w16cid:durableId="2126195216">
    <w:abstractNumId w:val="22"/>
  </w:num>
  <w:num w:numId="5" w16cid:durableId="1468625713">
    <w:abstractNumId w:val="15"/>
  </w:num>
  <w:num w:numId="6" w16cid:durableId="1771320190">
    <w:abstractNumId w:val="15"/>
  </w:num>
  <w:num w:numId="7" w16cid:durableId="719012575">
    <w:abstractNumId w:val="15"/>
  </w:num>
  <w:num w:numId="8" w16cid:durableId="921917759">
    <w:abstractNumId w:val="15"/>
  </w:num>
  <w:num w:numId="9" w16cid:durableId="27033163">
    <w:abstractNumId w:val="15"/>
  </w:num>
  <w:num w:numId="10" w16cid:durableId="1198615961">
    <w:abstractNumId w:val="12"/>
  </w:num>
  <w:num w:numId="11" w16cid:durableId="1704666753">
    <w:abstractNumId w:val="14"/>
  </w:num>
  <w:num w:numId="12" w16cid:durableId="1519856526">
    <w:abstractNumId w:val="22"/>
  </w:num>
  <w:num w:numId="13" w16cid:durableId="144011834">
    <w:abstractNumId w:val="9"/>
  </w:num>
  <w:num w:numId="14" w16cid:durableId="983587303">
    <w:abstractNumId w:val="13"/>
  </w:num>
  <w:num w:numId="15" w16cid:durableId="1228612548">
    <w:abstractNumId w:val="13"/>
  </w:num>
  <w:num w:numId="16" w16cid:durableId="1338920370">
    <w:abstractNumId w:val="13"/>
  </w:num>
  <w:num w:numId="17" w16cid:durableId="1666741921">
    <w:abstractNumId w:val="17"/>
  </w:num>
  <w:num w:numId="18" w16cid:durableId="1260335426">
    <w:abstractNumId w:val="20"/>
  </w:num>
  <w:num w:numId="19" w16cid:durableId="2136020655">
    <w:abstractNumId w:val="7"/>
  </w:num>
  <w:num w:numId="20" w16cid:durableId="110904159">
    <w:abstractNumId w:val="6"/>
  </w:num>
  <w:num w:numId="21" w16cid:durableId="506334728">
    <w:abstractNumId w:val="5"/>
  </w:num>
  <w:num w:numId="22" w16cid:durableId="1642534420">
    <w:abstractNumId w:val="4"/>
  </w:num>
  <w:num w:numId="23" w16cid:durableId="326327656">
    <w:abstractNumId w:val="3"/>
  </w:num>
  <w:num w:numId="24" w16cid:durableId="743333718">
    <w:abstractNumId w:val="2"/>
  </w:num>
  <w:num w:numId="25" w16cid:durableId="485512349">
    <w:abstractNumId w:val="1"/>
  </w:num>
  <w:num w:numId="26" w16cid:durableId="728311323">
    <w:abstractNumId w:val="0"/>
  </w:num>
  <w:num w:numId="27" w16cid:durableId="351299039">
    <w:abstractNumId w:val="18"/>
  </w:num>
  <w:num w:numId="28" w16cid:durableId="2071685013">
    <w:abstractNumId w:val="11"/>
  </w:num>
  <w:num w:numId="29" w16cid:durableId="217788485">
    <w:abstractNumId w:val="8"/>
    <w:lvlOverride w:ilvl="0">
      <w:startOverride w:val="1"/>
    </w:lvlOverride>
  </w:num>
  <w:num w:numId="30" w16cid:durableId="636955516">
    <w:abstractNumId w:val="8"/>
    <w:lvlOverride w:ilvl="0">
      <w:startOverride w:val="1"/>
    </w:lvlOverride>
  </w:num>
  <w:num w:numId="31" w16cid:durableId="15775951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17855626">
    <w:abstractNumId w:val="17"/>
  </w:num>
  <w:num w:numId="33" w16cid:durableId="39743777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76325584">
    <w:abstractNumId w:val="20"/>
  </w:num>
  <w:num w:numId="35" w16cid:durableId="14159311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17029102">
    <w:abstractNumId w:val="19"/>
  </w:num>
  <w:num w:numId="37" w16cid:durableId="991840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929929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6607580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7064636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0B1"/>
    <w:rsid w:val="0000065B"/>
    <w:rsid w:val="000063B3"/>
    <w:rsid w:val="00051DA5"/>
    <w:rsid w:val="0005224D"/>
    <w:rsid w:val="00071285"/>
    <w:rsid w:val="000730D8"/>
    <w:rsid w:val="00083493"/>
    <w:rsid w:val="00086DB5"/>
    <w:rsid w:val="000953C8"/>
    <w:rsid w:val="000A265F"/>
    <w:rsid w:val="000A6A9B"/>
    <w:rsid w:val="000B2C66"/>
    <w:rsid w:val="000C4B88"/>
    <w:rsid w:val="000D1A8E"/>
    <w:rsid w:val="000D2A1F"/>
    <w:rsid w:val="00102625"/>
    <w:rsid w:val="001454AC"/>
    <w:rsid w:val="00147A5F"/>
    <w:rsid w:val="0015432F"/>
    <w:rsid w:val="00187CC4"/>
    <w:rsid w:val="00191D30"/>
    <w:rsid w:val="001A5054"/>
    <w:rsid w:val="001B705F"/>
    <w:rsid w:val="001C4235"/>
    <w:rsid w:val="001C7870"/>
    <w:rsid w:val="001D4EBC"/>
    <w:rsid w:val="002056A8"/>
    <w:rsid w:val="00210E56"/>
    <w:rsid w:val="002249F1"/>
    <w:rsid w:val="00242051"/>
    <w:rsid w:val="00242250"/>
    <w:rsid w:val="00243DDB"/>
    <w:rsid w:val="00246F93"/>
    <w:rsid w:val="0026178D"/>
    <w:rsid w:val="0026364F"/>
    <w:rsid w:val="00270F15"/>
    <w:rsid w:val="00273ECA"/>
    <w:rsid w:val="0029798A"/>
    <w:rsid w:val="002A64D6"/>
    <w:rsid w:val="002B199B"/>
    <w:rsid w:val="002B5FAA"/>
    <w:rsid w:val="002C6938"/>
    <w:rsid w:val="002C7BCD"/>
    <w:rsid w:val="00304386"/>
    <w:rsid w:val="00330835"/>
    <w:rsid w:val="00330EC4"/>
    <w:rsid w:val="00345F5B"/>
    <w:rsid w:val="00350CFC"/>
    <w:rsid w:val="00351706"/>
    <w:rsid w:val="003628A2"/>
    <w:rsid w:val="00372FC0"/>
    <w:rsid w:val="00395E54"/>
    <w:rsid w:val="003A26A4"/>
    <w:rsid w:val="003A3292"/>
    <w:rsid w:val="003A5D6B"/>
    <w:rsid w:val="003A6F5C"/>
    <w:rsid w:val="003B21AF"/>
    <w:rsid w:val="003B22B4"/>
    <w:rsid w:val="003D103E"/>
    <w:rsid w:val="003E28FD"/>
    <w:rsid w:val="003F6B71"/>
    <w:rsid w:val="00412E0E"/>
    <w:rsid w:val="00414662"/>
    <w:rsid w:val="0042236E"/>
    <w:rsid w:val="00425681"/>
    <w:rsid w:val="00427A6A"/>
    <w:rsid w:val="00431005"/>
    <w:rsid w:val="004709E3"/>
    <w:rsid w:val="0047414B"/>
    <w:rsid w:val="00484FF3"/>
    <w:rsid w:val="004908F2"/>
    <w:rsid w:val="004A2A6F"/>
    <w:rsid w:val="004A3520"/>
    <w:rsid w:val="004A35B0"/>
    <w:rsid w:val="004A4101"/>
    <w:rsid w:val="004A5267"/>
    <w:rsid w:val="004D4F8D"/>
    <w:rsid w:val="004D6BAA"/>
    <w:rsid w:val="004E2576"/>
    <w:rsid w:val="005376E8"/>
    <w:rsid w:val="0056247C"/>
    <w:rsid w:val="00581808"/>
    <w:rsid w:val="005E4F78"/>
    <w:rsid w:val="005E5F5B"/>
    <w:rsid w:val="005E6B6A"/>
    <w:rsid w:val="005F2750"/>
    <w:rsid w:val="005F4A2B"/>
    <w:rsid w:val="006063EA"/>
    <w:rsid w:val="006174C8"/>
    <w:rsid w:val="0063026B"/>
    <w:rsid w:val="00630F27"/>
    <w:rsid w:val="00641DA5"/>
    <w:rsid w:val="00654389"/>
    <w:rsid w:val="00665CBA"/>
    <w:rsid w:val="00676863"/>
    <w:rsid w:val="00681C64"/>
    <w:rsid w:val="006842A0"/>
    <w:rsid w:val="006940A4"/>
    <w:rsid w:val="00695199"/>
    <w:rsid w:val="006A3AE1"/>
    <w:rsid w:val="006A4917"/>
    <w:rsid w:val="006B20CC"/>
    <w:rsid w:val="006B769C"/>
    <w:rsid w:val="006D6736"/>
    <w:rsid w:val="00707083"/>
    <w:rsid w:val="00732BCB"/>
    <w:rsid w:val="00760E5C"/>
    <w:rsid w:val="00774A39"/>
    <w:rsid w:val="0079245C"/>
    <w:rsid w:val="007966C7"/>
    <w:rsid w:val="007A1737"/>
    <w:rsid w:val="007A6D29"/>
    <w:rsid w:val="007C2215"/>
    <w:rsid w:val="007D105A"/>
    <w:rsid w:val="007D63CC"/>
    <w:rsid w:val="007D706D"/>
    <w:rsid w:val="007D7DA8"/>
    <w:rsid w:val="008751CE"/>
    <w:rsid w:val="008819BB"/>
    <w:rsid w:val="00890232"/>
    <w:rsid w:val="00892C88"/>
    <w:rsid w:val="00895A32"/>
    <w:rsid w:val="008A740F"/>
    <w:rsid w:val="008C5A75"/>
    <w:rsid w:val="008F15EE"/>
    <w:rsid w:val="00901DD4"/>
    <w:rsid w:val="00915973"/>
    <w:rsid w:val="009344F5"/>
    <w:rsid w:val="00944F77"/>
    <w:rsid w:val="00945BDE"/>
    <w:rsid w:val="0095618C"/>
    <w:rsid w:val="009748E4"/>
    <w:rsid w:val="009B10F0"/>
    <w:rsid w:val="009C0902"/>
    <w:rsid w:val="009C64A4"/>
    <w:rsid w:val="00A10FC9"/>
    <w:rsid w:val="00A21C23"/>
    <w:rsid w:val="00A71913"/>
    <w:rsid w:val="00A8212C"/>
    <w:rsid w:val="00A971F3"/>
    <w:rsid w:val="00AA311A"/>
    <w:rsid w:val="00AC119A"/>
    <w:rsid w:val="00AC248B"/>
    <w:rsid w:val="00AD60AA"/>
    <w:rsid w:val="00AE0A8D"/>
    <w:rsid w:val="00AE3EA2"/>
    <w:rsid w:val="00AE79A0"/>
    <w:rsid w:val="00AF6C7F"/>
    <w:rsid w:val="00B0128A"/>
    <w:rsid w:val="00B25E46"/>
    <w:rsid w:val="00B315AA"/>
    <w:rsid w:val="00B67F7A"/>
    <w:rsid w:val="00B833DE"/>
    <w:rsid w:val="00B913BC"/>
    <w:rsid w:val="00B95429"/>
    <w:rsid w:val="00BA70B1"/>
    <w:rsid w:val="00BB57F5"/>
    <w:rsid w:val="00BD31D4"/>
    <w:rsid w:val="00BE2D4B"/>
    <w:rsid w:val="00BF5ABC"/>
    <w:rsid w:val="00C3330F"/>
    <w:rsid w:val="00C45C07"/>
    <w:rsid w:val="00C46C27"/>
    <w:rsid w:val="00C735A5"/>
    <w:rsid w:val="00C74170"/>
    <w:rsid w:val="00C75B76"/>
    <w:rsid w:val="00C9164D"/>
    <w:rsid w:val="00CB6F18"/>
    <w:rsid w:val="00D01465"/>
    <w:rsid w:val="00D13762"/>
    <w:rsid w:val="00D14DCE"/>
    <w:rsid w:val="00D273CA"/>
    <w:rsid w:val="00D338E3"/>
    <w:rsid w:val="00D37C4D"/>
    <w:rsid w:val="00D54B8A"/>
    <w:rsid w:val="00D620BD"/>
    <w:rsid w:val="00D81A34"/>
    <w:rsid w:val="00DA35F7"/>
    <w:rsid w:val="00DA55F5"/>
    <w:rsid w:val="00DC72F8"/>
    <w:rsid w:val="00E02B92"/>
    <w:rsid w:val="00E11355"/>
    <w:rsid w:val="00E217F5"/>
    <w:rsid w:val="00E43398"/>
    <w:rsid w:val="00E456E3"/>
    <w:rsid w:val="00E475A1"/>
    <w:rsid w:val="00E60CF2"/>
    <w:rsid w:val="00E74FE2"/>
    <w:rsid w:val="00E81D83"/>
    <w:rsid w:val="00E82FD2"/>
    <w:rsid w:val="00E843A0"/>
    <w:rsid w:val="00E861AC"/>
    <w:rsid w:val="00E942A9"/>
    <w:rsid w:val="00E94C3F"/>
    <w:rsid w:val="00EA5AD1"/>
    <w:rsid w:val="00EB4A3F"/>
    <w:rsid w:val="00EB7C72"/>
    <w:rsid w:val="00EC039B"/>
    <w:rsid w:val="00ED121A"/>
    <w:rsid w:val="00ED36AA"/>
    <w:rsid w:val="00EE4FAC"/>
    <w:rsid w:val="00EF305E"/>
    <w:rsid w:val="00EF76C9"/>
    <w:rsid w:val="00F24F79"/>
    <w:rsid w:val="00F262B9"/>
    <w:rsid w:val="00F26424"/>
    <w:rsid w:val="00F37AB1"/>
    <w:rsid w:val="00F64EF0"/>
    <w:rsid w:val="00F74BC8"/>
    <w:rsid w:val="00F92E4E"/>
    <w:rsid w:val="00FB57E3"/>
    <w:rsid w:val="00FC1D58"/>
    <w:rsid w:val="00FD294C"/>
    <w:rsid w:val="00FD5FBE"/>
    <w:rsid w:val="00FD6AC3"/>
    <w:rsid w:val="00FE32B2"/>
    <w:rsid w:val="00FE3B10"/>
    <w:rsid w:val="00FE7773"/>
    <w:rsid w:val="00FF0143"/>
    <w:rsid w:val="00FF4E5B"/>
  </w:rsids>
  <m:mathPr>
    <m:mathFont m:val="Cambria Math"/>
    <m:brkBin m:val="before"/>
    <m:brkBinSub m:val="--"/>
    <m:smallFrac m:val="0"/>
    <m:dispDef/>
    <m:lMargin m:val="0"/>
    <m:rMargin m:val="0"/>
    <m:defJc m:val="centerGroup"/>
    <m:wrapIndent m:val="1440"/>
    <m:intLim m:val="subSup"/>
    <m:naryLim m:val="undOvr"/>
  </m:mathPr>
  <w:themeFontLang w:val="en-GB" w:eastAsia="zh-CN" w:bidi="k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C16BFD"/>
  <w15:chartTrackingRefBased/>
  <w15:docId w15:val="{2E1F4511-8A0B-4263-8609-6EADC2D6F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4AC"/>
    <w:pPr>
      <w:spacing w:after="120"/>
    </w:pPr>
    <w:rPr>
      <w:rFonts w:ascii="Arial" w:eastAsia="Times New Roman" w:hAnsi="Arial" w:cs="Times New Roman"/>
      <w:sz w:val="20"/>
      <w:szCs w:val="18"/>
      <w:lang w:val="en-US"/>
    </w:rPr>
  </w:style>
  <w:style w:type="paragraph" w:styleId="Heading1">
    <w:name w:val="heading 1"/>
    <w:next w:val="Normal"/>
    <w:link w:val="Heading1Char"/>
    <w:uiPriority w:val="9"/>
    <w:qFormat/>
    <w:rsid w:val="00210E56"/>
    <w:pPr>
      <w:tabs>
        <w:tab w:val="left" w:pos="737"/>
      </w:tabs>
      <w:spacing w:before="400" w:after="200" w:line="288" w:lineRule="auto"/>
      <w:outlineLvl w:val="0"/>
    </w:pPr>
    <w:rPr>
      <w:rFonts w:ascii="Arial" w:eastAsiaTheme="minorEastAsia" w:hAnsi="Arial" w:cs="Arial"/>
      <w:color w:val="000000" w:themeColor="text1"/>
      <w:sz w:val="36"/>
      <w:szCs w:val="30"/>
    </w:rPr>
  </w:style>
  <w:style w:type="paragraph" w:styleId="Heading2">
    <w:name w:val="heading 2"/>
    <w:next w:val="Normal"/>
    <w:link w:val="Heading2Char"/>
    <w:uiPriority w:val="9"/>
    <w:unhideWhenUsed/>
    <w:qFormat/>
    <w:rsid w:val="00BA70B1"/>
    <w:pPr>
      <w:keepNext/>
      <w:keepLines/>
      <w:numPr>
        <w:numId w:val="14"/>
      </w:numPr>
      <w:tabs>
        <w:tab w:val="left" w:pos="567"/>
      </w:tabs>
      <w:spacing w:before="480" w:after="60" w:line="264" w:lineRule="auto"/>
      <w:ind w:left="567" w:hanging="567"/>
      <w:outlineLvl w:val="1"/>
    </w:pPr>
    <w:rPr>
      <w:rFonts w:ascii="Arial Bold" w:eastAsiaTheme="majorEastAsia" w:hAnsi="Arial Bold" w:cs="Arial"/>
      <w:b/>
      <w:color w:val="001EFF"/>
      <w:sz w:val="28"/>
    </w:rPr>
  </w:style>
  <w:style w:type="paragraph" w:styleId="Heading3">
    <w:name w:val="heading 3"/>
    <w:next w:val="Normal"/>
    <w:link w:val="Heading3Char"/>
    <w:uiPriority w:val="9"/>
    <w:unhideWhenUsed/>
    <w:qFormat/>
    <w:rsid w:val="004709E3"/>
    <w:pPr>
      <w:keepNext/>
      <w:keepLines/>
      <w:tabs>
        <w:tab w:val="left" w:pos="737"/>
      </w:tabs>
      <w:spacing w:before="480" w:after="60" w:line="264" w:lineRule="auto"/>
      <w:outlineLvl w:val="2"/>
    </w:pPr>
    <w:rPr>
      <w:rFonts w:ascii="Arial Bold" w:eastAsiaTheme="majorEastAsia" w:hAnsi="Arial Bold" w:cs="Times New Roman (Headings CS)"/>
      <w:b/>
      <w:color w:val="000000" w:themeColor="text1"/>
    </w:rPr>
  </w:style>
  <w:style w:type="paragraph" w:styleId="Heading4">
    <w:name w:val="heading 4"/>
    <w:next w:val="Normal"/>
    <w:link w:val="Heading4Char"/>
    <w:unhideWhenUsed/>
    <w:qFormat/>
    <w:rsid w:val="005F2750"/>
    <w:pPr>
      <w:numPr>
        <w:ilvl w:val="1"/>
        <w:numId w:val="14"/>
      </w:numPr>
      <w:spacing w:before="120" w:after="60"/>
      <w:ind w:left="1134" w:hanging="567"/>
      <w:outlineLvl w:val="3"/>
    </w:pPr>
    <w:rPr>
      <w:rFonts w:eastAsiaTheme="majorEastAsia" w:cstheme="minorHAnsi"/>
      <w:bCs/>
      <w:iCs/>
      <w:color w:val="000000" w:themeColor="text1"/>
      <w:sz w:val="19"/>
    </w:rPr>
  </w:style>
  <w:style w:type="paragraph" w:styleId="Heading5">
    <w:name w:val="heading 5"/>
    <w:basedOn w:val="Normal"/>
    <w:next w:val="Normal"/>
    <w:link w:val="Heading5Char"/>
    <w:unhideWhenUsed/>
    <w:rsid w:val="00654389"/>
    <w:pPr>
      <w:keepNext/>
      <w:spacing w:before="240"/>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7966C7"/>
    <w:rPr>
      <w:rFonts w:ascii="Arial" w:eastAsia="PMingLiU" w:hAnsi="Arial" w:cs="Times New Roman"/>
      <w:color w:val="333333"/>
      <w:sz w:val="18"/>
      <w:szCs w:val="20"/>
      <w:lang w:val="en-US"/>
    </w:rPr>
    <w:tblPr>
      <w:tblStyleRowBandSize w:val="1"/>
      <w:tblBorders>
        <w:top w:val="single" w:sz="8" w:space="0" w:color="001EFF"/>
        <w:left w:val="single" w:sz="18" w:space="0" w:color="FFFFFF"/>
        <w:bottom w:val="single" w:sz="8" w:space="0" w:color="auto"/>
        <w:insideH w:val="single" w:sz="8" w:space="0" w:color="auto"/>
        <w:insideV w:val="single" w:sz="8" w:space="0" w:color="auto"/>
      </w:tblBorders>
      <w:tblCellMar>
        <w:top w:w="57" w:type="dxa"/>
        <w:bottom w:w="57" w:type="dxa"/>
      </w:tblCellMar>
    </w:tblPr>
    <w:trPr>
      <w:cantSplit/>
    </w:trPr>
    <w:tcPr>
      <w:shd w:val="clear" w:color="auto" w:fill="auto"/>
      <w:vAlign w:val="center"/>
    </w:tcPr>
    <w:tblStylePr w:type="firstRow">
      <w:pPr>
        <w:wordWrap/>
        <w:spacing w:beforeLines="0" w:beforeAutospacing="0" w:afterLines="0" w:afterAutospacing="0"/>
        <w:contextualSpacing w:val="0"/>
      </w:pPr>
      <w:rPr>
        <w:rFonts w:ascii="Arial" w:hAnsi="Arial"/>
        <w:b/>
        <w:i w:val="0"/>
        <w:caps w:val="0"/>
        <w:smallCaps w:val="0"/>
        <w:color w:val="001EFF"/>
        <w:sz w:val="16"/>
      </w:rPr>
      <w:tblPr/>
      <w:tcPr>
        <w:tcBorders>
          <w:top w:val="single" w:sz="8" w:space="0" w:color="001EFF"/>
          <w:left w:val="single" w:sz="8" w:space="0" w:color="FFFFFF" w:themeColor="background1"/>
          <w:bottom w:val="single" w:sz="8" w:space="0" w:color="auto"/>
          <w:right w:val="single" w:sz="8" w:space="0" w:color="FFFFFF" w:themeColor="background1"/>
          <w:insideH w:val="nil"/>
          <w:insideV w:val="single" w:sz="8" w:space="0" w:color="auto"/>
          <w:tl2br w:val="nil"/>
          <w:tr2bl w:val="nil"/>
        </w:tcBorders>
        <w:shd w:val="clear" w:color="auto" w:fill="BABABA"/>
      </w:tcPr>
    </w:tblStylePr>
    <w:tblStylePr w:type="lastRow">
      <w:rPr>
        <w:rFonts w:ascii="Arial" w:hAnsi="Arial"/>
        <w:b w:val="0"/>
        <w:i w:val="0"/>
        <w:sz w:val="18"/>
      </w:rPr>
      <w:tblPr/>
      <w:tcPr>
        <w:shd w:val="clear" w:color="auto" w:fill="F3F3F3"/>
      </w:tcPr>
    </w:tblStylePr>
    <w:tblStylePr w:type="band1Horz">
      <w:pPr>
        <w:jc w:val="left"/>
      </w:pPr>
      <w:tblPr/>
      <w:tcPr>
        <w:shd w:val="clear" w:color="auto" w:fill="F3F3F3"/>
      </w:tcPr>
    </w:tblStylePr>
    <w:tblStylePr w:type="band2Horz">
      <w:pPr>
        <w:jc w:val="left"/>
      </w:pPr>
      <w:rPr>
        <w:color w:val="333333"/>
      </w:rPr>
      <w:tblPr/>
      <w:tcPr>
        <w:shd w:val="clear" w:color="auto" w:fill="F3F3F3"/>
        <w:vAlign w:val="center"/>
      </w:tcPr>
    </w:tblStylePr>
  </w:style>
  <w:style w:type="table" w:styleId="TableGrid">
    <w:name w:val="Table Grid"/>
    <w:basedOn w:val="TableNormal"/>
    <w:uiPriority w:val="39"/>
    <w:rsid w:val="00796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bullet">
    <w:name w:val="Table text bullet"/>
    <w:basedOn w:val="TableText"/>
    <w:rsid w:val="00654389"/>
    <w:pPr>
      <w:numPr>
        <w:numId w:val="10"/>
      </w:numPr>
    </w:pPr>
  </w:style>
  <w:style w:type="paragraph" w:customStyle="1" w:styleId="TableText">
    <w:name w:val="Table Text"/>
    <w:basedOn w:val="Normal"/>
    <w:link w:val="TableTextChar"/>
    <w:qFormat/>
    <w:rsid w:val="00210E56"/>
    <w:pPr>
      <w:spacing w:after="0"/>
    </w:pPr>
    <w:rPr>
      <w:rFonts w:eastAsiaTheme="minorHAnsi" w:cs="Arial"/>
    </w:rPr>
  </w:style>
  <w:style w:type="character" w:customStyle="1" w:styleId="TableTextChar">
    <w:name w:val="Table Text Char"/>
    <w:basedOn w:val="DefaultParagraphFont"/>
    <w:link w:val="TableText"/>
    <w:rsid w:val="00654389"/>
    <w:rPr>
      <w:rFonts w:ascii="Arial" w:hAnsi="Arial" w:cs="Arial"/>
      <w:color w:val="000000" w:themeColor="text1"/>
      <w:sz w:val="18"/>
    </w:rPr>
  </w:style>
  <w:style w:type="paragraph" w:customStyle="1" w:styleId="Bullet">
    <w:name w:val="Bullet"/>
    <w:basedOn w:val="Normal"/>
    <w:link w:val="BulletChar"/>
    <w:qFormat/>
    <w:rsid w:val="000A6A9B"/>
    <w:pPr>
      <w:numPr>
        <w:numId w:val="17"/>
      </w:numPr>
      <w:spacing w:line="288" w:lineRule="auto"/>
      <w:ind w:left="426" w:hanging="284"/>
    </w:pPr>
    <w:rPr>
      <w:rFonts w:eastAsiaTheme="minorHAnsi"/>
    </w:rPr>
  </w:style>
  <w:style w:type="character" w:customStyle="1" w:styleId="BulletChar">
    <w:name w:val="Bullet Char"/>
    <w:link w:val="Bullet"/>
    <w:rsid w:val="000A6A9B"/>
    <w:rPr>
      <w:rFonts w:ascii="Arial" w:hAnsi="Arial" w:cs="Times New Roman (Body CS)"/>
      <w:color w:val="000000" w:themeColor="text1"/>
      <w:sz w:val="20"/>
    </w:rPr>
  </w:style>
  <w:style w:type="paragraph" w:styleId="ListParagraph">
    <w:name w:val="List Paragraph"/>
    <w:basedOn w:val="Normal"/>
    <w:uiPriority w:val="34"/>
    <w:rsid w:val="00654389"/>
    <w:pPr>
      <w:ind w:left="720"/>
      <w:contextualSpacing/>
    </w:pPr>
  </w:style>
  <w:style w:type="paragraph" w:customStyle="1" w:styleId="Number">
    <w:name w:val="Number"/>
    <w:basedOn w:val="ListNumber"/>
    <w:link w:val="NumberChar"/>
    <w:qFormat/>
    <w:rsid w:val="000A6A9B"/>
    <w:pPr>
      <w:numPr>
        <w:numId w:val="27"/>
      </w:numPr>
      <w:ind w:left="426" w:hanging="426"/>
      <w:contextualSpacing w:val="0"/>
    </w:pPr>
  </w:style>
  <w:style w:type="character" w:customStyle="1" w:styleId="NumberChar">
    <w:name w:val="Number Char"/>
    <w:basedOn w:val="DefaultParagraphFont"/>
    <w:link w:val="Number"/>
    <w:rsid w:val="000A6A9B"/>
    <w:rPr>
      <w:rFonts w:ascii="Arial" w:eastAsiaTheme="minorEastAsia" w:hAnsi="Arial" w:cs="Times New Roman (Body CS)"/>
      <w:color w:val="000000" w:themeColor="text1"/>
      <w:sz w:val="18"/>
      <w:lang w:val="en-US"/>
    </w:rPr>
  </w:style>
  <w:style w:type="paragraph" w:styleId="ListNumber">
    <w:name w:val="List Number"/>
    <w:basedOn w:val="Normal"/>
    <w:uiPriority w:val="99"/>
    <w:semiHidden/>
    <w:unhideWhenUsed/>
    <w:rsid w:val="00654389"/>
    <w:pPr>
      <w:numPr>
        <w:numId w:val="3"/>
      </w:numPr>
      <w:contextualSpacing/>
    </w:pPr>
  </w:style>
  <w:style w:type="paragraph" w:customStyle="1" w:styleId="SublineHeader">
    <w:name w:val="Subline Header"/>
    <w:basedOn w:val="Title"/>
    <w:rsid w:val="00654389"/>
    <w:pPr>
      <w:spacing w:before="120" w:after="120"/>
      <w:jc w:val="center"/>
      <w:outlineLvl w:val="0"/>
    </w:pPr>
    <w:rPr>
      <w:rFonts w:eastAsia="Times New Roman" w:cs="Arial"/>
      <w:color w:val="A6A6A6" w:themeColor="background1" w:themeShade="A6"/>
      <w:kern w:val="28"/>
      <w:sz w:val="28"/>
      <w:szCs w:val="32"/>
      <w:shd w:val="clear" w:color="auto" w:fill="FFFFFF"/>
      <w:lang w:val="en-US"/>
    </w:rPr>
  </w:style>
  <w:style w:type="paragraph" w:styleId="Title">
    <w:name w:val="Title"/>
    <w:next w:val="Normal"/>
    <w:link w:val="TitleChar"/>
    <w:uiPriority w:val="10"/>
    <w:rsid w:val="00654389"/>
    <w:pPr>
      <w:spacing w:after="720"/>
    </w:pPr>
    <w:rPr>
      <w:rFonts w:ascii="Arial" w:eastAsiaTheme="minorEastAsia" w:hAnsi="Arial" w:cs="Times New Roman (Body CS)"/>
      <w:color w:val="000000" w:themeColor="text1"/>
      <w:sz w:val="48"/>
      <w:szCs w:val="56"/>
    </w:rPr>
  </w:style>
  <w:style w:type="character" w:customStyle="1" w:styleId="TitleChar">
    <w:name w:val="Title Char"/>
    <w:basedOn w:val="DefaultParagraphFont"/>
    <w:link w:val="Title"/>
    <w:uiPriority w:val="10"/>
    <w:rsid w:val="00654389"/>
    <w:rPr>
      <w:rFonts w:ascii="Arial" w:eastAsiaTheme="minorEastAsia" w:hAnsi="Arial" w:cs="Times New Roman (Body CS)"/>
      <w:color w:val="000000" w:themeColor="text1"/>
      <w:sz w:val="48"/>
      <w:szCs w:val="56"/>
    </w:rPr>
  </w:style>
  <w:style w:type="paragraph" w:customStyle="1" w:styleId="SublineHeaderLevel2">
    <w:name w:val="SublineHeader Level2"/>
    <w:basedOn w:val="SublineHeader"/>
    <w:rsid w:val="00654389"/>
    <w:rPr>
      <w:sz w:val="24"/>
      <w:szCs w:val="24"/>
    </w:rPr>
  </w:style>
  <w:style w:type="character" w:customStyle="1" w:styleId="ScrollInlineCode">
    <w:name w:val="Scroll Inline Code"/>
    <w:basedOn w:val="DefaultParagraphFont"/>
    <w:uiPriority w:val="1"/>
    <w:rsid w:val="00654389"/>
    <w:rPr>
      <w:rFonts w:ascii="Courier New" w:hAnsi="Courier New"/>
      <w:bdr w:val="none" w:sz="0" w:space="0" w:color="auto"/>
      <w:shd w:val="clear" w:color="auto" w:fill="F4F5F7"/>
    </w:rPr>
  </w:style>
  <w:style w:type="paragraph" w:customStyle="1" w:styleId="Bullet2">
    <w:name w:val="Bullet 2"/>
    <w:basedOn w:val="Bullet"/>
    <w:qFormat/>
    <w:rsid w:val="000A6A9B"/>
    <w:pPr>
      <w:numPr>
        <w:numId w:val="18"/>
      </w:numPr>
      <w:ind w:left="851"/>
    </w:pPr>
  </w:style>
  <w:style w:type="character" w:customStyle="1" w:styleId="Heading1Char">
    <w:name w:val="Heading 1 Char"/>
    <w:basedOn w:val="DefaultParagraphFont"/>
    <w:link w:val="Heading1"/>
    <w:uiPriority w:val="9"/>
    <w:rsid w:val="00210E56"/>
    <w:rPr>
      <w:rFonts w:ascii="Arial" w:eastAsiaTheme="minorEastAsia" w:hAnsi="Arial" w:cs="Arial"/>
      <w:color w:val="000000" w:themeColor="text1"/>
      <w:sz w:val="36"/>
      <w:szCs w:val="30"/>
    </w:rPr>
  </w:style>
  <w:style w:type="character" w:customStyle="1" w:styleId="Heading2Char">
    <w:name w:val="Heading 2 Char"/>
    <w:basedOn w:val="DefaultParagraphFont"/>
    <w:link w:val="Heading2"/>
    <w:uiPriority w:val="9"/>
    <w:rsid w:val="00BA70B1"/>
    <w:rPr>
      <w:rFonts w:ascii="Arial Bold" w:eastAsiaTheme="majorEastAsia" w:hAnsi="Arial Bold" w:cs="Arial"/>
      <w:b/>
      <w:color w:val="001EFF"/>
      <w:sz w:val="28"/>
    </w:rPr>
  </w:style>
  <w:style w:type="character" w:customStyle="1" w:styleId="Heading3Char">
    <w:name w:val="Heading 3 Char"/>
    <w:basedOn w:val="DefaultParagraphFont"/>
    <w:link w:val="Heading3"/>
    <w:uiPriority w:val="9"/>
    <w:rsid w:val="004709E3"/>
    <w:rPr>
      <w:rFonts w:ascii="Arial Bold" w:eastAsiaTheme="majorEastAsia" w:hAnsi="Arial Bold" w:cs="Times New Roman (Headings CS)"/>
      <w:b/>
      <w:color w:val="000000" w:themeColor="text1"/>
    </w:rPr>
  </w:style>
  <w:style w:type="character" w:customStyle="1" w:styleId="Heading4Char">
    <w:name w:val="Heading 4 Char"/>
    <w:basedOn w:val="DefaultParagraphFont"/>
    <w:link w:val="Heading4"/>
    <w:rsid w:val="005F2750"/>
    <w:rPr>
      <w:rFonts w:eastAsiaTheme="majorEastAsia" w:cstheme="minorHAnsi"/>
      <w:bCs/>
      <w:iCs/>
      <w:color w:val="000000" w:themeColor="text1"/>
      <w:sz w:val="19"/>
    </w:rPr>
  </w:style>
  <w:style w:type="character" w:customStyle="1" w:styleId="Heading5Char">
    <w:name w:val="Heading 5 Char"/>
    <w:basedOn w:val="DefaultParagraphFont"/>
    <w:link w:val="Heading5"/>
    <w:rsid w:val="00654389"/>
    <w:rPr>
      <w:rFonts w:ascii="Arial" w:eastAsiaTheme="minorEastAsia" w:hAnsi="Arial" w:cs="Times New Roman (Body CS)"/>
      <w:b/>
      <w:color w:val="000000" w:themeColor="text1"/>
      <w:sz w:val="18"/>
    </w:rPr>
  </w:style>
  <w:style w:type="paragraph" w:styleId="Caption">
    <w:name w:val="caption"/>
    <w:basedOn w:val="Normal"/>
    <w:link w:val="CaptionChar"/>
    <w:rsid w:val="00654389"/>
    <w:pPr>
      <w:keepLines/>
      <w:tabs>
        <w:tab w:val="left" w:pos="227"/>
        <w:tab w:val="left" w:pos="454"/>
        <w:tab w:val="left" w:pos="680"/>
      </w:tabs>
      <w:spacing w:after="240"/>
      <w:ind w:left="425"/>
    </w:pPr>
    <w:rPr>
      <w:bCs/>
      <w:color w:val="000000"/>
      <w:szCs w:val="20"/>
      <w:lang w:eastAsia="en-GB"/>
    </w:rPr>
  </w:style>
  <w:style w:type="character" w:customStyle="1" w:styleId="CaptionChar">
    <w:name w:val="Caption Char"/>
    <w:basedOn w:val="DefaultParagraphFont"/>
    <w:link w:val="Caption"/>
    <w:rsid w:val="00654389"/>
    <w:rPr>
      <w:rFonts w:ascii="Arial" w:eastAsia="Times New Roman" w:hAnsi="Arial" w:cs="Times New Roman (Body CS)"/>
      <w:bCs/>
      <w:color w:val="000000"/>
      <w:sz w:val="18"/>
      <w:szCs w:val="20"/>
      <w:lang w:val="en-US" w:eastAsia="en-GB"/>
    </w:rPr>
  </w:style>
  <w:style w:type="paragraph" w:styleId="TOCHeading">
    <w:name w:val="TOC Heading"/>
    <w:basedOn w:val="Heading1"/>
    <w:next w:val="Normal"/>
    <w:uiPriority w:val="39"/>
    <w:unhideWhenUsed/>
    <w:rsid w:val="00654389"/>
    <w:pPr>
      <w:keepNext/>
      <w:tabs>
        <w:tab w:val="left" w:pos="1980"/>
      </w:tabs>
      <w:spacing w:before="480" w:after="0" w:line="276" w:lineRule="auto"/>
      <w:ind w:left="2552" w:hanging="2552"/>
      <w:outlineLvl w:val="9"/>
    </w:pPr>
    <w:rPr>
      <w:rFonts w:asciiTheme="majorHAnsi" w:eastAsiaTheme="majorEastAsia" w:hAnsiTheme="majorHAnsi" w:cstheme="majorBidi"/>
      <w:b/>
      <w:bCs/>
      <w:color w:val="0015BF" w:themeColor="accent1" w:themeShade="BF"/>
      <w:kern w:val="32"/>
      <w:sz w:val="28"/>
      <w:szCs w:val="28"/>
      <w:lang w:eastAsia="en-GB"/>
    </w:rPr>
  </w:style>
  <w:style w:type="paragraph" w:styleId="Header">
    <w:name w:val="header"/>
    <w:basedOn w:val="Normal"/>
    <w:link w:val="HeaderChar"/>
    <w:uiPriority w:val="99"/>
    <w:unhideWhenUsed/>
    <w:rsid w:val="00E74FE2"/>
    <w:pPr>
      <w:tabs>
        <w:tab w:val="center" w:pos="4513"/>
        <w:tab w:val="right" w:pos="9026"/>
      </w:tabs>
      <w:spacing w:after="0"/>
    </w:pPr>
  </w:style>
  <w:style w:type="character" w:customStyle="1" w:styleId="HeaderChar">
    <w:name w:val="Header Char"/>
    <w:basedOn w:val="DefaultParagraphFont"/>
    <w:link w:val="Header"/>
    <w:uiPriority w:val="99"/>
    <w:rsid w:val="00E74FE2"/>
    <w:rPr>
      <w:rFonts w:ascii="Arial" w:eastAsiaTheme="minorEastAsia" w:hAnsi="Arial" w:cs="Times New Roman (Body CS)"/>
      <w:color w:val="000000" w:themeColor="text1"/>
      <w:sz w:val="18"/>
    </w:rPr>
  </w:style>
  <w:style w:type="paragraph" w:styleId="Footer">
    <w:name w:val="footer"/>
    <w:basedOn w:val="Normal"/>
    <w:link w:val="FooterChar"/>
    <w:uiPriority w:val="99"/>
    <w:unhideWhenUsed/>
    <w:rsid w:val="00E74FE2"/>
    <w:pPr>
      <w:tabs>
        <w:tab w:val="center" w:pos="4513"/>
        <w:tab w:val="right" w:pos="9026"/>
      </w:tabs>
      <w:spacing w:after="0"/>
    </w:pPr>
  </w:style>
  <w:style w:type="character" w:customStyle="1" w:styleId="FooterChar">
    <w:name w:val="Footer Char"/>
    <w:basedOn w:val="DefaultParagraphFont"/>
    <w:link w:val="Footer"/>
    <w:uiPriority w:val="99"/>
    <w:rsid w:val="00E74FE2"/>
    <w:rPr>
      <w:rFonts w:ascii="Arial" w:eastAsiaTheme="minorEastAsia" w:hAnsi="Arial" w:cs="Times New Roman (Body CS)"/>
      <w:color w:val="000000" w:themeColor="text1"/>
      <w:sz w:val="18"/>
    </w:rPr>
  </w:style>
  <w:style w:type="paragraph" w:styleId="Subtitle">
    <w:name w:val="Subtitle"/>
    <w:next w:val="Normal"/>
    <w:link w:val="SubtitleChar"/>
    <w:uiPriority w:val="11"/>
    <w:rsid w:val="00D01465"/>
    <w:pPr>
      <w:spacing w:before="240"/>
    </w:pPr>
    <w:rPr>
      <w:rFonts w:cs="Times New Roman (Body CS)"/>
      <w:color w:val="000000" w:themeColor="text1"/>
      <w:sz w:val="40"/>
      <w:szCs w:val="36"/>
    </w:rPr>
  </w:style>
  <w:style w:type="character" w:customStyle="1" w:styleId="SubtitleChar">
    <w:name w:val="Subtitle Char"/>
    <w:basedOn w:val="DefaultParagraphFont"/>
    <w:link w:val="Subtitle"/>
    <w:uiPriority w:val="11"/>
    <w:rsid w:val="00D01465"/>
    <w:rPr>
      <w:rFonts w:cs="Times New Roman (Body CS)"/>
      <w:color w:val="000000" w:themeColor="text1"/>
      <w:sz w:val="40"/>
      <w:szCs w:val="36"/>
    </w:rPr>
  </w:style>
  <w:style w:type="character" w:styleId="PageNumber">
    <w:name w:val="page number"/>
    <w:basedOn w:val="DefaultParagraphFont"/>
    <w:uiPriority w:val="99"/>
    <w:unhideWhenUsed/>
    <w:rsid w:val="006D6736"/>
    <w:rPr>
      <w:rFonts w:ascii="Arial" w:hAnsi="Arial"/>
      <w:b w:val="0"/>
      <w:i w:val="0"/>
      <w:color w:val="001DFF" w:themeColor="text2"/>
      <w:sz w:val="17"/>
    </w:rPr>
  </w:style>
  <w:style w:type="paragraph" w:styleId="ListBullet">
    <w:name w:val="List Bullet"/>
    <w:basedOn w:val="Normal"/>
    <w:uiPriority w:val="99"/>
    <w:unhideWhenUsed/>
    <w:rsid w:val="00F92E4E"/>
    <w:pPr>
      <w:numPr>
        <w:numId w:val="13"/>
      </w:numPr>
      <w:spacing w:line="288" w:lineRule="auto"/>
    </w:pPr>
    <w:rPr>
      <w:rFonts w:asciiTheme="minorHAnsi" w:eastAsiaTheme="minorHAnsi" w:hAnsiTheme="minorHAnsi"/>
    </w:rPr>
  </w:style>
  <w:style w:type="paragraph" w:customStyle="1" w:styleId="TableTextHeading">
    <w:name w:val="Table Text Heading"/>
    <w:basedOn w:val="TableofFigures"/>
    <w:qFormat/>
    <w:rsid w:val="00210E56"/>
    <w:rPr>
      <w:rFonts w:eastAsia="Arial" w:cs="Arial"/>
      <w:color w:val="FFFFFF"/>
    </w:rPr>
  </w:style>
  <w:style w:type="paragraph" w:styleId="TableofFigures">
    <w:name w:val="table of figures"/>
    <w:basedOn w:val="Normal"/>
    <w:next w:val="Normal"/>
    <w:uiPriority w:val="99"/>
    <w:semiHidden/>
    <w:unhideWhenUsed/>
    <w:rsid w:val="00210E56"/>
    <w:pPr>
      <w:spacing w:after="0"/>
    </w:pPr>
  </w:style>
  <w:style w:type="paragraph" w:styleId="NormalIndent">
    <w:name w:val="Normal Indent"/>
    <w:basedOn w:val="Normal"/>
    <w:uiPriority w:val="99"/>
    <w:unhideWhenUsed/>
    <w:rsid w:val="00210E56"/>
    <w:pPr>
      <w:spacing w:after="160" w:line="288" w:lineRule="auto"/>
      <w:ind w:left="426"/>
    </w:pPr>
    <w:rPr>
      <w:rFonts w:asciiTheme="minorHAnsi" w:eastAsiaTheme="minorHAnsi" w:hAnsiTheme="minorHAnsi"/>
    </w:rPr>
  </w:style>
  <w:style w:type="paragraph" w:styleId="NoteHeading">
    <w:name w:val="Note Heading"/>
    <w:basedOn w:val="BlockText"/>
    <w:next w:val="MacroText"/>
    <w:link w:val="NoteHeadingChar"/>
    <w:unhideWhenUsed/>
    <w:qFormat/>
    <w:rsid w:val="003B21AF"/>
    <w:pPr>
      <w:keepNext/>
    </w:pPr>
    <w:rPr>
      <w:rFonts w:ascii="Arial Bold" w:hAnsi="Arial Bold"/>
      <w:b/>
      <w:bCs/>
      <w:iCs w:val="0"/>
      <w:color w:val="0000FF"/>
    </w:rPr>
  </w:style>
  <w:style w:type="character" w:customStyle="1" w:styleId="NoteHeadingChar">
    <w:name w:val="Note Heading Char"/>
    <w:basedOn w:val="DefaultParagraphFont"/>
    <w:link w:val="NoteHeading"/>
    <w:rsid w:val="003B21AF"/>
    <w:rPr>
      <w:rFonts w:ascii="Arial Bold" w:eastAsiaTheme="minorEastAsia" w:hAnsi="Arial Bold" w:cs="Times New Roman (Body CS)"/>
      <w:b/>
      <w:bCs/>
      <w:color w:val="0000FF"/>
      <w:sz w:val="19"/>
      <w:szCs w:val="19"/>
      <w:shd w:val="clear" w:color="auto" w:fill="FFFFFF" w:themeFill="background1"/>
      <w:lang w:eastAsia="en-GB"/>
    </w:rPr>
  </w:style>
  <w:style w:type="paragraph" w:styleId="BlockText">
    <w:name w:val="Block Text"/>
    <w:aliases w:val="Note text"/>
    <w:basedOn w:val="Normal"/>
    <w:rsid w:val="00210E56"/>
    <w:pPr>
      <w:pBdr>
        <w:top w:val="single" w:sz="2" w:space="10" w:color="001DFF" w:themeColor="text2"/>
        <w:left w:val="single" w:sz="2" w:space="10" w:color="001DFF" w:themeColor="text2"/>
        <w:bottom w:val="single" w:sz="2" w:space="10" w:color="001DFF" w:themeColor="text2"/>
        <w:right w:val="single" w:sz="2" w:space="10" w:color="001DFF" w:themeColor="text2"/>
      </w:pBdr>
      <w:shd w:val="clear" w:color="auto" w:fill="FFFFFF" w:themeFill="background1"/>
      <w:ind w:left="227" w:right="227"/>
    </w:pPr>
    <w:rPr>
      <w:iCs/>
      <w:sz w:val="19"/>
      <w:szCs w:val="19"/>
      <w:lang w:eastAsia="en-GB"/>
    </w:rPr>
  </w:style>
  <w:style w:type="paragraph" w:styleId="MacroText">
    <w:name w:val="macro"/>
    <w:link w:val="MacroTextChar"/>
    <w:uiPriority w:val="99"/>
    <w:semiHidden/>
    <w:unhideWhenUsed/>
    <w:rsid w:val="00210E56"/>
    <w:pPr>
      <w:tabs>
        <w:tab w:val="left" w:pos="480"/>
        <w:tab w:val="left" w:pos="960"/>
        <w:tab w:val="left" w:pos="1440"/>
        <w:tab w:val="left" w:pos="1920"/>
        <w:tab w:val="left" w:pos="2400"/>
        <w:tab w:val="left" w:pos="2880"/>
        <w:tab w:val="left" w:pos="3360"/>
        <w:tab w:val="left" w:pos="3840"/>
        <w:tab w:val="left" w:pos="4320"/>
      </w:tabs>
    </w:pPr>
    <w:rPr>
      <w:rFonts w:ascii="Consolas" w:eastAsiaTheme="minorEastAsia" w:hAnsi="Consolas" w:cs="Times New Roman (Body CS)"/>
      <w:color w:val="000000" w:themeColor="text1"/>
      <w:sz w:val="20"/>
      <w:szCs w:val="20"/>
    </w:rPr>
  </w:style>
  <w:style w:type="character" w:customStyle="1" w:styleId="MacroTextChar">
    <w:name w:val="Macro Text Char"/>
    <w:basedOn w:val="DefaultParagraphFont"/>
    <w:link w:val="MacroText"/>
    <w:uiPriority w:val="99"/>
    <w:semiHidden/>
    <w:rsid w:val="00210E56"/>
    <w:rPr>
      <w:rFonts w:ascii="Consolas" w:eastAsiaTheme="minorEastAsia" w:hAnsi="Consolas" w:cs="Times New Roman (Body CS)"/>
      <w:color w:val="000000" w:themeColor="text1"/>
      <w:sz w:val="20"/>
      <w:szCs w:val="20"/>
    </w:rPr>
  </w:style>
  <w:style w:type="character" w:customStyle="1" w:styleId="Blocktextheading">
    <w:name w:val="Block text heading"/>
    <w:basedOn w:val="DefaultParagraphFont"/>
    <w:uiPriority w:val="1"/>
    <w:rsid w:val="00210E56"/>
    <w:rPr>
      <w:rFonts w:ascii="Arial Bold" w:hAnsi="Arial Bold"/>
      <w:b/>
      <w:color w:val="001DFF" w:themeColor="text2"/>
      <w:sz w:val="19"/>
      <w:szCs w:val="19"/>
    </w:rPr>
  </w:style>
  <w:style w:type="paragraph" w:customStyle="1" w:styleId="NoteText">
    <w:name w:val="Note Text"/>
    <w:basedOn w:val="BlockText"/>
    <w:qFormat/>
    <w:rsid w:val="003B21AF"/>
  </w:style>
  <w:style w:type="table" w:customStyle="1" w:styleId="LSEGFXtablestyle">
    <w:name w:val="LSEG FX table style"/>
    <w:basedOn w:val="TableNormal"/>
    <w:uiPriority w:val="99"/>
    <w:rsid w:val="003B21AF"/>
    <w:rPr>
      <w:color w:val="666666"/>
      <w:sz w:val="18"/>
    </w:rPr>
    <w:tblPr>
      <w:tblStyleRowBandSize w:val="1"/>
      <w:tblBorders>
        <w:bottom w:val="single" w:sz="4" w:space="0" w:color="666666"/>
        <w:insideH w:val="single" w:sz="4" w:space="0" w:color="666666"/>
        <w:insideV w:val="single" w:sz="4" w:space="0" w:color="666666"/>
      </w:tblBorders>
    </w:tblPr>
    <w:tcPr>
      <w:shd w:val="clear" w:color="auto" w:fill="auto"/>
      <w:tcMar>
        <w:top w:w="85" w:type="dxa"/>
        <w:bottom w:w="85" w:type="dxa"/>
      </w:tcMar>
    </w:tcPr>
    <w:tblStylePr w:type="firstRow">
      <w:rPr>
        <w:rFonts w:asciiTheme="minorHAnsi" w:hAnsiTheme="minorHAnsi"/>
        <w:color w:val="FFFFFF" w:themeColor="background1"/>
        <w:sz w:val="18"/>
      </w:rPr>
      <w:tblPr/>
      <w:tcPr>
        <w:tcBorders>
          <w:insideV w:val="single" w:sz="4" w:space="0" w:color="FFFFFF" w:themeColor="background1"/>
        </w:tcBorders>
        <w:shd w:val="clear" w:color="auto" w:fill="001DFF" w:themeFill="text2"/>
      </w:tcPr>
    </w:tblStylePr>
    <w:tblStylePr w:type="band1Horz">
      <w:tblPr/>
      <w:tcPr>
        <w:tcBorders>
          <w:insideV w:val="nil"/>
        </w:tcBorders>
        <w:shd w:val="clear" w:color="auto" w:fill="auto"/>
      </w:tcPr>
    </w:tblStylePr>
    <w:tblStylePr w:type="band2Horz">
      <w:tblPr/>
      <w:tcPr>
        <w:tcBorders>
          <w:insideV w:val="nil"/>
        </w:tcBorders>
        <w:shd w:val="clear" w:color="auto" w:fill="auto"/>
      </w:tcPr>
    </w:tblStylePr>
  </w:style>
  <w:style w:type="paragraph" w:customStyle="1" w:styleId="letter">
    <w:name w:val="letter"/>
    <w:basedOn w:val="Normal"/>
    <w:rsid w:val="009B10F0"/>
    <w:pPr>
      <w:numPr>
        <w:numId w:val="28"/>
      </w:numPr>
    </w:pPr>
  </w:style>
  <w:style w:type="character" w:styleId="Hyperlink">
    <w:name w:val="Hyperlink"/>
    <w:uiPriority w:val="99"/>
    <w:unhideWhenUsed/>
    <w:rsid w:val="00BA70B1"/>
    <w:rPr>
      <w:color w:val="0000FF"/>
      <w:u w:val="single"/>
    </w:rPr>
  </w:style>
  <w:style w:type="paragraph" w:customStyle="1" w:styleId="StandardL2">
    <w:name w:val="Standard_L2"/>
    <w:basedOn w:val="Normal"/>
    <w:link w:val="StandardL2Char"/>
    <w:uiPriority w:val="49"/>
    <w:qFormat/>
    <w:rsid w:val="00BA70B1"/>
    <w:pPr>
      <w:numPr>
        <w:ilvl w:val="1"/>
        <w:numId w:val="36"/>
      </w:numPr>
      <w:spacing w:after="240" w:line="360" w:lineRule="auto"/>
      <w:jc w:val="both"/>
      <w:outlineLvl w:val="1"/>
    </w:pPr>
    <w:rPr>
      <w:rFonts w:cs="Arial"/>
      <w:szCs w:val="20"/>
      <w:lang w:val="en-GB" w:eastAsia="en-CA"/>
    </w:rPr>
  </w:style>
  <w:style w:type="paragraph" w:customStyle="1" w:styleId="StandardL1">
    <w:name w:val="Standard_L1"/>
    <w:basedOn w:val="Normal"/>
    <w:next w:val="StandardL2"/>
    <w:uiPriority w:val="49"/>
    <w:qFormat/>
    <w:rsid w:val="00BA70B1"/>
    <w:pPr>
      <w:keepNext/>
      <w:numPr>
        <w:numId w:val="36"/>
      </w:numPr>
      <w:spacing w:after="240" w:line="360" w:lineRule="auto"/>
      <w:jc w:val="both"/>
      <w:outlineLvl w:val="0"/>
    </w:pPr>
    <w:rPr>
      <w:rFonts w:cs="Arial"/>
      <w:b/>
      <w:sz w:val="24"/>
      <w:szCs w:val="20"/>
      <w:lang w:val="en-GB" w:eastAsia="en-CA"/>
    </w:rPr>
  </w:style>
  <w:style w:type="character" w:customStyle="1" w:styleId="StandardL2Char">
    <w:name w:val="Standard_L2 Char"/>
    <w:link w:val="StandardL2"/>
    <w:uiPriority w:val="49"/>
    <w:locked/>
    <w:rsid w:val="00BA70B1"/>
    <w:rPr>
      <w:rFonts w:ascii="Arial" w:eastAsia="Times New Roman" w:hAnsi="Arial" w:cs="Arial"/>
      <w:sz w:val="20"/>
      <w:szCs w:val="20"/>
      <w:lang w:eastAsia="en-CA"/>
    </w:rPr>
  </w:style>
  <w:style w:type="paragraph" w:customStyle="1" w:styleId="StandardL3">
    <w:name w:val="Standard_L3"/>
    <w:basedOn w:val="Normal"/>
    <w:uiPriority w:val="49"/>
    <w:qFormat/>
    <w:rsid w:val="00BA70B1"/>
    <w:pPr>
      <w:numPr>
        <w:ilvl w:val="2"/>
        <w:numId w:val="36"/>
      </w:numPr>
      <w:spacing w:after="240" w:line="360" w:lineRule="auto"/>
      <w:ind w:hanging="567"/>
      <w:jc w:val="both"/>
      <w:outlineLvl w:val="2"/>
    </w:pPr>
    <w:rPr>
      <w:rFonts w:cs="Arial"/>
      <w:szCs w:val="20"/>
      <w:lang w:val="en-GB" w:eastAsia="en-CA"/>
    </w:rPr>
  </w:style>
  <w:style w:type="paragraph" w:customStyle="1" w:styleId="StandardL4">
    <w:name w:val="Standard_L4"/>
    <w:basedOn w:val="Normal"/>
    <w:uiPriority w:val="49"/>
    <w:qFormat/>
    <w:rsid w:val="00BA70B1"/>
    <w:pPr>
      <w:numPr>
        <w:ilvl w:val="3"/>
        <w:numId w:val="36"/>
      </w:numPr>
      <w:spacing w:after="240" w:line="360" w:lineRule="auto"/>
      <w:jc w:val="both"/>
      <w:outlineLvl w:val="3"/>
    </w:pPr>
    <w:rPr>
      <w:rFonts w:cs="Arial"/>
      <w:szCs w:val="20"/>
      <w:lang w:val="en-GB" w:eastAsia="en-CA"/>
    </w:rPr>
  </w:style>
  <w:style w:type="paragraph" w:customStyle="1" w:styleId="StandardL5">
    <w:name w:val="Standard_L5"/>
    <w:basedOn w:val="Normal"/>
    <w:uiPriority w:val="49"/>
    <w:qFormat/>
    <w:rsid w:val="00BA70B1"/>
    <w:pPr>
      <w:numPr>
        <w:ilvl w:val="4"/>
        <w:numId w:val="36"/>
      </w:numPr>
      <w:spacing w:after="240" w:line="360" w:lineRule="auto"/>
      <w:jc w:val="both"/>
      <w:outlineLvl w:val="4"/>
    </w:pPr>
    <w:rPr>
      <w:rFonts w:cs="Arial"/>
      <w:szCs w:val="20"/>
      <w:lang w:val="en-GB" w:eastAsia="en-CA"/>
    </w:rPr>
  </w:style>
  <w:style w:type="paragraph" w:customStyle="1" w:styleId="StandardL6">
    <w:name w:val="Standard_L6"/>
    <w:basedOn w:val="Normal"/>
    <w:uiPriority w:val="49"/>
    <w:qFormat/>
    <w:rsid w:val="00BA70B1"/>
    <w:pPr>
      <w:numPr>
        <w:ilvl w:val="5"/>
        <w:numId w:val="36"/>
      </w:numPr>
      <w:spacing w:after="240" w:line="360" w:lineRule="auto"/>
      <w:jc w:val="both"/>
      <w:outlineLvl w:val="5"/>
    </w:pPr>
    <w:rPr>
      <w:rFonts w:cs="Arial"/>
      <w:szCs w:val="20"/>
      <w:lang w:val="en-GB" w:eastAsia="en-CA"/>
    </w:rPr>
  </w:style>
  <w:style w:type="paragraph" w:customStyle="1" w:styleId="StandardL7">
    <w:name w:val="Standard_L7"/>
    <w:basedOn w:val="Normal"/>
    <w:uiPriority w:val="49"/>
    <w:qFormat/>
    <w:rsid w:val="00BA70B1"/>
    <w:pPr>
      <w:numPr>
        <w:ilvl w:val="6"/>
        <w:numId w:val="36"/>
      </w:numPr>
      <w:spacing w:after="240" w:line="360" w:lineRule="auto"/>
      <w:jc w:val="both"/>
      <w:outlineLvl w:val="6"/>
    </w:pPr>
    <w:rPr>
      <w:rFonts w:cs="Arial"/>
      <w:szCs w:val="20"/>
      <w:lang w:val="en-GB" w:eastAsia="en-CA"/>
    </w:rPr>
  </w:style>
  <w:style w:type="paragraph" w:customStyle="1" w:styleId="StandardL8">
    <w:name w:val="Standard_L8"/>
    <w:basedOn w:val="Normal"/>
    <w:uiPriority w:val="49"/>
    <w:qFormat/>
    <w:rsid w:val="00BA70B1"/>
    <w:pPr>
      <w:numPr>
        <w:ilvl w:val="7"/>
        <w:numId w:val="36"/>
      </w:numPr>
      <w:spacing w:after="240" w:line="360" w:lineRule="auto"/>
      <w:jc w:val="both"/>
      <w:outlineLvl w:val="7"/>
    </w:pPr>
    <w:rPr>
      <w:rFonts w:cs="Arial"/>
      <w:szCs w:val="20"/>
      <w:lang w:val="en-GB" w:eastAsia="en-CA"/>
    </w:rPr>
  </w:style>
  <w:style w:type="paragraph" w:customStyle="1" w:styleId="StandardL9">
    <w:name w:val="Standard_L9"/>
    <w:basedOn w:val="Normal"/>
    <w:uiPriority w:val="49"/>
    <w:qFormat/>
    <w:rsid w:val="00BA70B1"/>
    <w:pPr>
      <w:numPr>
        <w:ilvl w:val="8"/>
        <w:numId w:val="36"/>
      </w:numPr>
      <w:spacing w:after="240" w:line="360" w:lineRule="auto"/>
      <w:ind w:hanging="567"/>
      <w:jc w:val="both"/>
      <w:outlineLvl w:val="8"/>
    </w:pPr>
    <w:rPr>
      <w:rFonts w:cs="Arial"/>
      <w:szCs w:val="20"/>
      <w:lang w:val="en-GB" w:eastAsia="en-CA"/>
    </w:rPr>
  </w:style>
  <w:style w:type="numbering" w:customStyle="1" w:styleId="StandardList">
    <w:name w:val="_Standard List"/>
    <w:rsid w:val="00BA70B1"/>
    <w:pPr>
      <w:numPr>
        <w:numId w:val="36"/>
      </w:numPr>
    </w:pPr>
  </w:style>
  <w:style w:type="character" w:styleId="UnresolvedMention">
    <w:name w:val="Unresolved Mention"/>
    <w:basedOn w:val="DefaultParagraphFont"/>
    <w:uiPriority w:val="99"/>
    <w:semiHidden/>
    <w:unhideWhenUsed/>
    <w:rsid w:val="005F2750"/>
    <w:rPr>
      <w:color w:val="605E5C"/>
      <w:shd w:val="clear" w:color="auto" w:fill="E1DFDD"/>
    </w:rPr>
  </w:style>
  <w:style w:type="paragraph" w:styleId="Revision">
    <w:name w:val="Revision"/>
    <w:hidden/>
    <w:uiPriority w:val="99"/>
    <w:semiHidden/>
    <w:rsid w:val="005F2750"/>
    <w:rPr>
      <w:rFonts w:ascii="Arial" w:eastAsia="Times New Roman" w:hAnsi="Arial" w:cs="Times New Roman"/>
      <w:sz w:val="20"/>
      <w:szCs w:val="18"/>
      <w:lang w:val="en-US"/>
    </w:rPr>
  </w:style>
  <w:style w:type="character" w:styleId="CommentReference">
    <w:name w:val="annotation reference"/>
    <w:basedOn w:val="DefaultParagraphFont"/>
    <w:uiPriority w:val="99"/>
    <w:semiHidden/>
    <w:unhideWhenUsed/>
    <w:rsid w:val="005F2750"/>
    <w:rPr>
      <w:sz w:val="16"/>
      <w:szCs w:val="16"/>
    </w:rPr>
  </w:style>
  <w:style w:type="paragraph" w:styleId="CommentText">
    <w:name w:val="annotation text"/>
    <w:basedOn w:val="Normal"/>
    <w:link w:val="CommentTextChar"/>
    <w:uiPriority w:val="99"/>
    <w:unhideWhenUsed/>
    <w:rsid w:val="005F2750"/>
    <w:rPr>
      <w:szCs w:val="20"/>
    </w:rPr>
  </w:style>
  <w:style w:type="character" w:customStyle="1" w:styleId="CommentTextChar">
    <w:name w:val="Comment Text Char"/>
    <w:basedOn w:val="DefaultParagraphFont"/>
    <w:link w:val="CommentText"/>
    <w:uiPriority w:val="99"/>
    <w:rsid w:val="005F2750"/>
    <w:rPr>
      <w:rFonts w:ascii="Arial" w:eastAsia="Times New Roman"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5F2750"/>
    <w:rPr>
      <w:b/>
      <w:bCs/>
    </w:rPr>
  </w:style>
  <w:style w:type="character" w:customStyle="1" w:styleId="CommentSubjectChar">
    <w:name w:val="Comment Subject Char"/>
    <w:basedOn w:val="CommentTextChar"/>
    <w:link w:val="CommentSubject"/>
    <w:uiPriority w:val="99"/>
    <w:semiHidden/>
    <w:rsid w:val="005F2750"/>
    <w:rPr>
      <w:rFonts w:ascii="Arial" w:eastAsia="Times New Roman" w:hAnsi="Arial" w:cs="Times New Roman"/>
      <w:b/>
      <w:bCs/>
      <w:sz w:val="20"/>
      <w:szCs w:val="20"/>
      <w:lang w:val="en-US"/>
    </w:rPr>
  </w:style>
  <w:style w:type="paragraph" w:customStyle="1" w:styleId="bulletleteter">
    <w:name w:val="bullet leteter"/>
    <w:qFormat/>
    <w:rsid w:val="005F2750"/>
    <w:pPr>
      <w:numPr>
        <w:numId w:val="39"/>
      </w:numPr>
      <w:spacing w:after="120"/>
      <w:ind w:left="1701" w:hanging="567"/>
      <w:jc w:val="both"/>
      <w:outlineLvl w:val="2"/>
    </w:pPr>
    <w:rPr>
      <w:rFonts w:ascii="Arial" w:eastAsia="Times New Roman" w:hAnsi="Arial" w:cs="Arial"/>
      <w:sz w:val="20"/>
      <w:szCs w:val="20"/>
      <w:lang w:val="en-US"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07263">
      <w:bodyDiv w:val="1"/>
      <w:marLeft w:val="0"/>
      <w:marRight w:val="0"/>
      <w:marTop w:val="0"/>
      <w:marBottom w:val="0"/>
      <w:divBdr>
        <w:top w:val="none" w:sz="0" w:space="0" w:color="auto"/>
        <w:left w:val="none" w:sz="0" w:space="0" w:color="auto"/>
        <w:bottom w:val="none" w:sz="0" w:space="0" w:color="auto"/>
        <w:right w:val="none" w:sz="0" w:space="0" w:color="auto"/>
      </w:divBdr>
    </w:div>
    <w:div w:id="335773245">
      <w:bodyDiv w:val="1"/>
      <w:marLeft w:val="0"/>
      <w:marRight w:val="0"/>
      <w:marTop w:val="0"/>
      <w:marBottom w:val="0"/>
      <w:divBdr>
        <w:top w:val="none" w:sz="0" w:space="0" w:color="auto"/>
        <w:left w:val="none" w:sz="0" w:space="0" w:color="auto"/>
        <w:bottom w:val="none" w:sz="0" w:space="0" w:color="auto"/>
        <w:right w:val="none" w:sz="0" w:space="0" w:color="auto"/>
      </w:divBdr>
    </w:div>
    <w:div w:id="704983994">
      <w:bodyDiv w:val="1"/>
      <w:marLeft w:val="0"/>
      <w:marRight w:val="0"/>
      <w:marTop w:val="0"/>
      <w:marBottom w:val="0"/>
      <w:divBdr>
        <w:top w:val="none" w:sz="0" w:space="0" w:color="auto"/>
        <w:left w:val="none" w:sz="0" w:space="0" w:color="auto"/>
        <w:bottom w:val="none" w:sz="0" w:space="0" w:color="auto"/>
        <w:right w:val="none" w:sz="0" w:space="0" w:color="auto"/>
      </w:divBdr>
    </w:div>
    <w:div w:id="763498686">
      <w:bodyDiv w:val="1"/>
      <w:marLeft w:val="0"/>
      <w:marRight w:val="0"/>
      <w:marTop w:val="0"/>
      <w:marBottom w:val="0"/>
      <w:divBdr>
        <w:top w:val="none" w:sz="0" w:space="0" w:color="auto"/>
        <w:left w:val="none" w:sz="0" w:space="0" w:color="auto"/>
        <w:bottom w:val="none" w:sz="0" w:space="0" w:color="auto"/>
        <w:right w:val="none" w:sz="0" w:space="0" w:color="auto"/>
      </w:divBdr>
    </w:div>
    <w:div w:id="1740444179">
      <w:bodyDiv w:val="1"/>
      <w:marLeft w:val="0"/>
      <w:marRight w:val="0"/>
      <w:marTop w:val="0"/>
      <w:marBottom w:val="0"/>
      <w:divBdr>
        <w:top w:val="none" w:sz="0" w:space="0" w:color="auto"/>
        <w:left w:val="none" w:sz="0" w:space="0" w:color="auto"/>
        <w:bottom w:val="none" w:sz="0" w:space="0" w:color="auto"/>
        <w:right w:val="none" w:sz="0" w:space="0" w:color="auto"/>
      </w:divBdr>
    </w:div>
    <w:div w:id="181031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marketconduct@lseg.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ilR\OneDrive%20-%20London%20Stock%20Exchange%20Group\Desktop\Template%20WIP\LSEG%20FX%20Short%20template%20portrait%20v0.2.dotx" TargetMode="External"/></Relationships>
</file>

<file path=word/theme/theme1.xml><?xml version="1.0" encoding="utf-8"?>
<a:theme xmlns:a="http://schemas.openxmlformats.org/drawingml/2006/main" name="Office Theme">
  <a:themeElements>
    <a:clrScheme name="Refinitiv 1">
      <a:dk1>
        <a:srgbClr val="000000"/>
      </a:dk1>
      <a:lt1>
        <a:srgbClr val="FFFFFF"/>
      </a:lt1>
      <a:dk2>
        <a:srgbClr val="001DFF"/>
      </a:dk2>
      <a:lt2>
        <a:srgbClr val="D9D9D9"/>
      </a:lt2>
      <a:accent1>
        <a:srgbClr val="001DFF"/>
      </a:accent1>
      <a:accent2>
        <a:srgbClr val="00CFD3"/>
      </a:accent2>
      <a:accent3>
        <a:srgbClr val="9063CC"/>
      </a:accent3>
      <a:accent4>
        <a:srgbClr val="00C389"/>
      </a:accent4>
      <a:accent5>
        <a:srgbClr val="FF5000"/>
      </a:accent5>
      <a:accent6>
        <a:srgbClr val="FFC800"/>
      </a:accent6>
      <a:hlink>
        <a:srgbClr val="001DFF"/>
      </a:hlink>
      <a:folHlink>
        <a:srgbClr val="001D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LSEG FX Short template portrait v0.2.dotx</Template>
  <TotalTime>6</TotalTime>
  <Pages>4</Pages>
  <Words>1076</Words>
  <Characters>6139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LSEG FX EU MTF Market Maker Addendum</dc:subject>
  <dc:creator>Neil Ranasinghe</dc:creator>
  <cp:keywords/>
  <dc:description/>
  <cp:lastModifiedBy>Ranasinghe, Neil</cp:lastModifiedBy>
  <cp:revision>3</cp:revision>
  <cp:lastPrinted>2023-09-19T18:33:00Z</cp:lastPrinted>
  <dcterms:created xsi:type="dcterms:W3CDTF">2023-11-13T10:20:00Z</dcterms:created>
  <dcterms:modified xsi:type="dcterms:W3CDTF">2023-11-13T10:22:00Z</dcterms:modified>
</cp:coreProperties>
</file>